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181A9" w14:textId="77777777" w:rsidR="00EE54BF" w:rsidRDefault="00EE54BF" w:rsidP="006C4BD1">
      <w:pPr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bookmarkEnd w:id="0"/>
    </w:p>
    <w:p w14:paraId="682FF655" w14:textId="77777777" w:rsidR="006C4BD1" w:rsidRDefault="006C4BD1" w:rsidP="006C4BD1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Anexa nr.1 la Ordinul Ministrului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educației </w:t>
      </w:r>
    </w:p>
    <w:p w14:paraId="1309FE63" w14:textId="77777777" w:rsidR="006C4BD1" w:rsidRPr="00656551" w:rsidRDefault="006C4BD1" w:rsidP="006C4BD1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61 fin 10 februarie 2015</w:t>
      </w:r>
    </w:p>
    <w:p w14:paraId="0170D7D6" w14:textId="2C1FE83E" w:rsidR="006C4BD1" w:rsidRPr="00F82321" w:rsidRDefault="006C4BD1" w:rsidP="006C4BD1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82321">
        <w:rPr>
          <w:rFonts w:ascii="Times New Roman" w:hAnsi="Times New Roman" w:cs="Times New Roman"/>
          <w:b/>
          <w:sz w:val="24"/>
          <w:szCs w:val="24"/>
          <w:lang w:val="ro-MD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ROIECTUL </w:t>
      </w:r>
      <w:r w:rsidR="00913DF0">
        <w:rPr>
          <w:rFonts w:ascii="Times New Roman" w:hAnsi="Times New Roman" w:cs="Times New Roman"/>
          <w:b/>
          <w:sz w:val="24"/>
          <w:szCs w:val="24"/>
          <w:lang w:val="ro-MD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REFORMA ÎNVĂȚĂMÎNTULUI ÎN MOLDOVA</w:t>
      </w:r>
      <w:r w:rsidR="00913DF0">
        <w:rPr>
          <w:rFonts w:ascii="Times New Roman" w:hAnsi="Times New Roman" w:cs="Times New Roman"/>
          <w:b/>
          <w:sz w:val="24"/>
          <w:szCs w:val="24"/>
          <w:lang w:val="ro-MD"/>
        </w:rPr>
        <w:t>”</w:t>
      </w:r>
    </w:p>
    <w:p w14:paraId="6114E53D" w14:textId="77777777" w:rsidR="006C4BD1" w:rsidRPr="00F82321" w:rsidRDefault="006C4BD1" w:rsidP="006C4BD1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82321">
        <w:rPr>
          <w:rFonts w:ascii="Times New Roman" w:hAnsi="Times New Roman" w:cs="Times New Roman"/>
          <w:b/>
          <w:sz w:val="24"/>
          <w:szCs w:val="24"/>
          <w:lang w:val="ro-MD"/>
        </w:rPr>
        <w:t xml:space="preserve">Standardele de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asigurare a </w:t>
      </w:r>
      <w:r w:rsidRPr="00F82321">
        <w:rPr>
          <w:rFonts w:ascii="Times New Roman" w:hAnsi="Times New Roman" w:cs="Times New Roman"/>
          <w:b/>
          <w:sz w:val="24"/>
          <w:szCs w:val="24"/>
          <w:lang w:val="ro-MD"/>
        </w:rPr>
        <w:t>calit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ății</w:t>
      </w:r>
      <w:r w:rsidRPr="00F8232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școlile de circumscripție</w:t>
      </w:r>
    </w:p>
    <w:p w14:paraId="79AB2D59" w14:textId="77777777" w:rsidR="006C4BD1" w:rsidRPr="00F82321" w:rsidRDefault="006C4BD1" w:rsidP="006C4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82321">
        <w:rPr>
          <w:rFonts w:ascii="Times New Roman" w:hAnsi="Times New Roman" w:cs="Times New Roman"/>
          <w:b/>
          <w:sz w:val="24"/>
          <w:szCs w:val="24"/>
          <w:lang w:val="ro-MD"/>
        </w:rPr>
        <w:t>Introducere</w:t>
      </w:r>
    </w:p>
    <w:p w14:paraId="36F7B2FB" w14:textId="0EE74EC3" w:rsidR="006C4BD1" w:rsidRPr="00F82321" w:rsidRDefault="006C4BD1" w:rsidP="006C4BD1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Acest raport prezintă </w:t>
      </w:r>
      <w:r w:rsidRPr="00F82321">
        <w:rPr>
          <w:rFonts w:ascii="Times New Roman" w:hAnsi="Times New Roman" w:cs="Times New Roman"/>
          <w:i/>
          <w:sz w:val="24"/>
          <w:szCs w:val="24"/>
          <w:lang w:val="ro-MD"/>
        </w:rPr>
        <w:t xml:space="preserve">Standardele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 xml:space="preserve">școlare </w:t>
      </w:r>
      <w:r w:rsidRPr="00F82321">
        <w:rPr>
          <w:rFonts w:ascii="Times New Roman" w:hAnsi="Times New Roman" w:cs="Times New Roman"/>
          <w:i/>
          <w:sz w:val="24"/>
          <w:szCs w:val="24"/>
          <w:lang w:val="ro-MD"/>
        </w:rPr>
        <w:t xml:space="preserve">de asigurare a calității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pentru școlile de circumscripție  (în continuare – standarde minime) și rolul lor în</w:t>
      </w:r>
      <w:r>
        <w:rPr>
          <w:rFonts w:ascii="Times New Roman" w:hAnsi="Times New Roman" w:cs="Times New Roman"/>
          <w:sz w:val="24"/>
          <w:szCs w:val="24"/>
          <w:lang w:val="ro-MD"/>
        </w:rPr>
        <w:t>tr-un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sistem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mai larg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de asigurare a calității în instituțiile de învățămînt din Moldova. Standardele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școlare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de asigurare a calității constau dintr-un </w:t>
      </w:r>
      <w:r>
        <w:rPr>
          <w:rFonts w:ascii="Times New Roman" w:hAnsi="Times New Roman" w:cs="Times New Roman"/>
          <w:sz w:val="24"/>
          <w:szCs w:val="24"/>
          <w:lang w:val="ro-MD"/>
        </w:rPr>
        <w:t>sub-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set implementabil și măsurabil de </w:t>
      </w:r>
      <w:r w:rsidRPr="00F82321">
        <w:rPr>
          <w:rFonts w:ascii="Times New Roman" w:hAnsi="Times New Roman" w:cs="Times New Roman"/>
          <w:i/>
          <w:sz w:val="24"/>
          <w:szCs w:val="24"/>
          <w:lang w:val="ro-MD"/>
        </w:rPr>
        <w:t xml:space="preserve">Standarde de calitate pentru instituțiile de învățămînt primar și secundar general din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p</w:t>
      </w:r>
      <w:r w:rsidRPr="00F82321">
        <w:rPr>
          <w:rFonts w:ascii="Times New Roman" w:hAnsi="Times New Roman" w:cs="Times New Roman"/>
          <w:i/>
          <w:sz w:val="24"/>
          <w:szCs w:val="24"/>
          <w:lang w:val="ro-MD"/>
        </w:rPr>
        <w:t xml:space="preserve">erspectiva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Ș</w:t>
      </w:r>
      <w:r w:rsidRPr="00F82321">
        <w:rPr>
          <w:rFonts w:ascii="Times New Roman" w:hAnsi="Times New Roman" w:cs="Times New Roman"/>
          <w:i/>
          <w:sz w:val="24"/>
          <w:szCs w:val="24"/>
          <w:lang w:val="ro-MD"/>
        </w:rPr>
        <w:t>colii prietenoase copilului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, aprobate de Guvern, și </w:t>
      </w:r>
      <w:r w:rsidR="004B5ED9">
        <w:rPr>
          <w:rFonts w:ascii="Times New Roman" w:hAnsi="Times New Roman" w:cs="Times New Roman"/>
          <w:sz w:val="24"/>
          <w:szCs w:val="24"/>
          <w:lang w:val="ro-MD"/>
        </w:rPr>
        <w:t xml:space="preserve">sînt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strîns legat</w:t>
      </w:r>
      <w:r w:rsidR="004B5ED9">
        <w:rPr>
          <w:rFonts w:ascii="Times New Roman" w:hAnsi="Times New Roman" w:cs="Times New Roman"/>
          <w:sz w:val="24"/>
          <w:szCs w:val="24"/>
          <w:lang w:val="ro-MD"/>
        </w:rPr>
        <w:t>e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4B5ED9">
        <w:rPr>
          <w:rFonts w:ascii="Times New Roman" w:hAnsi="Times New Roman" w:cs="Times New Roman"/>
          <w:sz w:val="24"/>
          <w:szCs w:val="24"/>
          <w:lang w:val="ro-MD"/>
        </w:rPr>
        <w:t>de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alte instrumente și mecanisme de asigurare a calității, în prezent elaborate și introduse de către Ministerul Educației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(MEd)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. În continuare, satisfacerea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acestor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standarde operaționale minime este o pre-condiție pentru MEd </w:t>
      </w:r>
      <w:r w:rsidR="00EE54BF">
        <w:rPr>
          <w:rFonts w:ascii="Times New Roman" w:hAnsi="Times New Roman" w:cs="Times New Roman"/>
          <w:sz w:val="24"/>
          <w:szCs w:val="24"/>
          <w:lang w:val="ro-MD"/>
        </w:rPr>
        <w:t>de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a atinge un set de indicatori aferenți </w:t>
      </w:r>
      <w:r w:rsidR="00847742">
        <w:rPr>
          <w:rFonts w:ascii="Times New Roman" w:hAnsi="Times New Roman" w:cs="Times New Roman"/>
          <w:sz w:val="24"/>
          <w:szCs w:val="24"/>
          <w:lang w:val="ro-MD"/>
        </w:rPr>
        <w:t xml:space="preserve"> debursărilor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(</w:t>
      </w:r>
      <w:r>
        <w:rPr>
          <w:rFonts w:ascii="Times New Roman" w:hAnsi="Times New Roman" w:cs="Times New Roman"/>
          <w:sz w:val="24"/>
          <w:szCs w:val="24"/>
          <w:lang w:val="ro-MD"/>
        </w:rPr>
        <w:t>IAD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în cadrul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Proiectului </w:t>
      </w:r>
      <w:r w:rsidR="00CC0FE9">
        <w:rPr>
          <w:rFonts w:ascii="Times New Roman" w:hAnsi="Times New Roman" w:cs="Times New Roman"/>
          <w:sz w:val="24"/>
          <w:szCs w:val="24"/>
          <w:lang w:val="ro-MD"/>
        </w:rPr>
        <w:t>„</w:t>
      </w:r>
      <w:r>
        <w:rPr>
          <w:rFonts w:ascii="Times New Roman" w:hAnsi="Times New Roman" w:cs="Times New Roman"/>
          <w:sz w:val="24"/>
          <w:szCs w:val="24"/>
          <w:lang w:val="ro-MD"/>
        </w:rPr>
        <w:t>R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eforma </w:t>
      </w:r>
      <w:r>
        <w:rPr>
          <w:rFonts w:ascii="Times New Roman" w:hAnsi="Times New Roman" w:cs="Times New Roman"/>
          <w:sz w:val="24"/>
          <w:szCs w:val="24"/>
          <w:lang w:val="ro-MD"/>
        </w:rPr>
        <w:t>Î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nvățămîntului în Moldova</w:t>
      </w:r>
      <w:r w:rsidR="00CC0FE9" w:rsidRPr="00847742">
        <w:rPr>
          <w:rFonts w:ascii="Times New Roman" w:hAnsi="Times New Roman" w:cs="Times New Roman"/>
          <w:sz w:val="24"/>
          <w:szCs w:val="24"/>
          <w:lang w:val="ro-MD"/>
        </w:rPr>
        <w:t>”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finanțat de Banca Mondială (PRIM).</w:t>
      </w:r>
    </w:p>
    <w:p w14:paraId="579A2691" w14:textId="77777777" w:rsidR="006C4BD1" w:rsidRPr="00F82321" w:rsidRDefault="006C4BD1" w:rsidP="006C4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Baza</w:t>
      </w:r>
      <w:r w:rsidRPr="00F8232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și contextul</w:t>
      </w:r>
    </w:p>
    <w:p w14:paraId="4FC66B48" w14:textId="3E2E9D7E" w:rsidR="006C4BD1" w:rsidRPr="00F82321" w:rsidRDefault="006C4BD1" w:rsidP="006C4BD1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Ministerul Educației a început o reformă complexă în sistemul de asigurare a calității în învățămînt. Reforma include, printre alte politici, stabilirea standardelor pentru școli, </w:t>
      </w:r>
      <w:r>
        <w:rPr>
          <w:rFonts w:ascii="Times New Roman" w:hAnsi="Times New Roman" w:cs="Times New Roman"/>
          <w:sz w:val="24"/>
          <w:szCs w:val="24"/>
          <w:lang w:val="ro-MD"/>
        </w:rPr>
        <w:t>manageri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și cadre didactice; elaborarea cadrului instituțional pentru asigurarea calității, în special</w:t>
      </w:r>
      <w:r w:rsidR="00A63107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63107">
        <w:rPr>
          <w:rFonts w:ascii="Times New Roman" w:hAnsi="Times New Roman" w:cs="Times New Roman"/>
          <w:sz w:val="24"/>
          <w:szCs w:val="24"/>
          <w:lang w:val="ro-MD"/>
        </w:rPr>
        <w:t xml:space="preserve">înființarea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Inspectoratului Școlar Național; efectuarea unei analize a curriculumului național; revizuirea sistemului de formare a cadrelor didactice și îmbunătățirea evaluărilor naționale, în special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examenelor de bacalaureat.   </w:t>
      </w:r>
    </w:p>
    <w:p w14:paraId="0A0E847F" w14:textId="67F81D6E" w:rsidR="006C4BD1" w:rsidRPr="00F82321" w:rsidRDefault="006C4BD1" w:rsidP="006C4BD1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anul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2013, Institutul de Științe ale Educației cu suportul UNICEF a elaborat </w:t>
      </w:r>
      <w:r w:rsidRPr="00F82321">
        <w:rPr>
          <w:rFonts w:ascii="Times New Roman" w:hAnsi="Times New Roman" w:cs="Times New Roman"/>
          <w:i/>
          <w:sz w:val="24"/>
          <w:szCs w:val="24"/>
          <w:lang w:val="ro-MD"/>
        </w:rPr>
        <w:t xml:space="preserve">Standardele de calitate pentru instituțiile de învățămînt primar și secundar general din perspectiva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Ș</w:t>
      </w:r>
      <w:r w:rsidRPr="00F82321">
        <w:rPr>
          <w:rFonts w:ascii="Times New Roman" w:hAnsi="Times New Roman" w:cs="Times New Roman"/>
          <w:i/>
          <w:sz w:val="24"/>
          <w:szCs w:val="24"/>
          <w:lang w:val="ro-MD"/>
        </w:rPr>
        <w:t>colii prietenoase copilului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(în continuare – Standarde de calitate). Standardele de calitate reprezintă declarații generale, </w:t>
      </w:r>
      <w:r>
        <w:rPr>
          <w:rFonts w:ascii="Times New Roman" w:hAnsi="Times New Roman" w:cs="Times New Roman"/>
          <w:sz w:val="24"/>
          <w:szCs w:val="24"/>
          <w:lang w:val="ro-MD"/>
        </w:rPr>
        <w:t>directive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și caracteristici referitoare la activități destinate să asigure școala prietenoasă copilului și un nivel de educație adecvat pentru dezvoltarea psihofizică confortabilă a elevului. Standardele acoperă toate aspectele privind funcționarea instituțiilor de învățămînt, inclusiv managementul, capacitatea instituțională, curriculumul/procesul de învățămînt. Standardele de calitate se structurează pe cinci dimensiuni care rezultă din conceptul ‘școala prietenoasă copilului’: 1) sănătate, siguranță</w:t>
      </w:r>
      <w:r w:rsidR="00EE54BF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protecție; 2) part</w:t>
      </w:r>
      <w:r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cipare democratică; 3) incluziune; 4) eficienț</w:t>
      </w:r>
      <w:r w:rsidR="00672FDE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educațională; și 5) </w:t>
      </w:r>
      <w:r w:rsidR="00672FDE">
        <w:rPr>
          <w:rFonts w:ascii="Times New Roman" w:hAnsi="Times New Roman" w:cs="Times New Roman"/>
          <w:sz w:val="24"/>
          <w:szCs w:val="24"/>
          <w:lang w:val="ro-MD"/>
        </w:rPr>
        <w:t xml:space="preserve">echitate de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gen. Standardele de calitate au fost aprobate prin ordinul Ministrului Educației nr. 970 din 11 octombrie 2013.</w:t>
      </w:r>
    </w:p>
    <w:p w14:paraId="69FDBFB8" w14:textId="4A3AC282" w:rsidR="006C4BD1" w:rsidRPr="00F82321" w:rsidRDefault="006C4BD1" w:rsidP="006C4BD1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Implementarea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tandardelor de calitate în învățămînt este un proces pe termen mediu și </w:t>
      </w:r>
      <w:r>
        <w:rPr>
          <w:rFonts w:ascii="Times New Roman" w:hAnsi="Times New Roman" w:cs="Times New Roman"/>
          <w:sz w:val="24"/>
          <w:szCs w:val="24"/>
          <w:lang w:val="ro-MD"/>
        </w:rPr>
        <w:t>lung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, care necesită detalierea </w:t>
      </w:r>
      <w:r>
        <w:rPr>
          <w:rFonts w:ascii="Times New Roman" w:hAnsi="Times New Roman" w:cs="Times New Roman"/>
          <w:sz w:val="24"/>
          <w:szCs w:val="24"/>
          <w:lang w:val="ro-MD"/>
        </w:rPr>
        <w:t>ulterioară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a cerințelor pentru atingerea standardelor, formarea cadrelor didactice, managerilor, părinților și altor părți interesate în educație, precum și </w:t>
      </w:r>
      <w:r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unui cadru instituțional funcțional pentru implementarea acestora.  Deși punerea în aplicare a standardelor de calitate este un proces îndelungat și urmează să treacă ani pentru a fi materializat, MEd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a început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deja </w:t>
      </w:r>
      <w:r>
        <w:rPr>
          <w:rFonts w:ascii="Times New Roman" w:hAnsi="Times New Roman" w:cs="Times New Roman"/>
          <w:sz w:val="24"/>
          <w:szCs w:val="24"/>
          <w:lang w:val="ro-MD"/>
        </w:rPr>
        <w:t>activitatea pentru atingerea acestui scop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E72AD2">
        <w:rPr>
          <w:rFonts w:ascii="Times New Roman" w:hAnsi="Times New Roman" w:cs="Times New Roman"/>
          <w:sz w:val="24"/>
          <w:szCs w:val="24"/>
          <w:lang w:val="ro-MD"/>
        </w:rPr>
        <w:t xml:space="preserve">La 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prima etapă, MEd a angajat un consultant internațional pentru a </w:t>
      </w:r>
      <w:r w:rsidRPr="00BF28A0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transforma</w:t>
      </w:r>
      <w:r>
        <w:rPr>
          <w:rFonts w:ascii="Times New Roman" w:hAnsi="Times New Roman" w:cs="Times New Roman"/>
          <w:sz w:val="24"/>
          <w:szCs w:val="24"/>
          <w:lang w:val="ro-MD"/>
        </w:rPr>
        <w:t>”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Standardele de calitate într-un instrument măsurabil și implementabil </w:t>
      </w:r>
      <w:r>
        <w:rPr>
          <w:rFonts w:ascii="Times New Roman" w:hAnsi="Times New Roman" w:cs="Times New Roman"/>
          <w:sz w:val="24"/>
          <w:szCs w:val="24"/>
          <w:lang w:val="ro-MD"/>
        </w:rPr>
        <w:t>cu intervenții concrete și criterii de evaluare măsurabile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MD"/>
        </w:rPr>
        <w:t>Consultantul a colaborat cu Institutul de Științe ale Educației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și alte părți interesate relevante, și la mijlocul anului 2013 a prezentat un raport final, care include: </w:t>
      </w:r>
    </w:p>
    <w:p w14:paraId="46B0EFE7" w14:textId="77777777" w:rsidR="006C4BD1" w:rsidRPr="00F82321" w:rsidRDefault="006C4BD1" w:rsidP="006C4B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Un cadru conceptual pentru asigurarea calității în instituțiile de învățămînt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0CF046A4" w14:textId="77777777" w:rsidR="006C4BD1" w:rsidRPr="00F82321" w:rsidRDefault="006C4BD1" w:rsidP="006C4B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O listă redusă de standarde măsurabile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/criteri</w:t>
      </w:r>
      <w:r>
        <w:rPr>
          <w:rFonts w:ascii="Times New Roman" w:hAnsi="Times New Roman" w:cs="Times New Roman"/>
          <w:sz w:val="24"/>
          <w:szCs w:val="24"/>
          <w:lang w:val="ro-MD"/>
        </w:rPr>
        <w:t>i ce derivă din Standardele de calitate, care urmează să fie utilizate în scopul evaluării realizării IAD în cadrul PRIM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78D2AD42" w14:textId="4B44CC5E" w:rsidR="006C4BD1" w:rsidRPr="00F82321" w:rsidRDefault="006C4BD1" w:rsidP="006C4B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Un plan cu </w:t>
      </w:r>
      <w:r w:rsidR="006736D7">
        <w:rPr>
          <w:rFonts w:ascii="Times New Roman" w:hAnsi="Times New Roman" w:cs="Times New Roman"/>
          <w:sz w:val="24"/>
          <w:szCs w:val="24"/>
          <w:lang w:val="ro-MD"/>
        </w:rPr>
        <w:t xml:space="preserve">specificarea </w:t>
      </w:r>
      <w:r>
        <w:rPr>
          <w:rFonts w:ascii="Times New Roman" w:hAnsi="Times New Roman" w:cs="Times New Roman"/>
          <w:sz w:val="24"/>
          <w:szCs w:val="24"/>
          <w:lang w:val="ro-MD"/>
        </w:rPr>
        <w:t>cheltuielilor pentru implementarea și evaluarea listei reduse, inclusiv criteriile pentru selectarea unei companii de evaluare independente; și</w:t>
      </w:r>
    </w:p>
    <w:p w14:paraId="454DB935" w14:textId="77777777" w:rsidR="006C4BD1" w:rsidRPr="00F82321" w:rsidRDefault="006C4BD1" w:rsidP="006C4B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Instrumentele pentru auto-evaluare și evaluarea de către partea-terță privind realizarea listei reduse de standarde/criterii</w:t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5B4CDF87" w14:textId="43710C3E" w:rsidR="006C4BD1" w:rsidRPr="00F82321" w:rsidRDefault="006C4BD1" w:rsidP="006C4BD1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Luînd în considerație cele menționate mai sus, MEd a elaborat ulterior un instrument, identificînd standardele operaționale minime pentru școlile de circumscripție care urmează să fie realizate în termen</w:t>
      </w:r>
      <w:r w:rsidR="00D27CAB">
        <w:rPr>
          <w:rFonts w:ascii="Times New Roman" w:hAnsi="Times New Roman" w:cs="Times New Roman"/>
          <w:sz w:val="24"/>
          <w:szCs w:val="24"/>
          <w:lang w:val="ro-MD"/>
        </w:rPr>
        <w:t>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restrîn</w:t>
      </w:r>
      <w:r w:rsidR="00D27CAB">
        <w:rPr>
          <w:rFonts w:ascii="Times New Roman" w:hAnsi="Times New Roman" w:cs="Times New Roman"/>
          <w:sz w:val="24"/>
          <w:szCs w:val="24"/>
          <w:lang w:val="ro-MD"/>
        </w:rPr>
        <w:t>se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. Standardele operaționale minime constau dintr-un sub-set de Standarde de calitate și sunt considerate a fi </w:t>
      </w:r>
      <w:r w:rsidR="00D27CAB">
        <w:rPr>
          <w:rFonts w:ascii="Times New Roman" w:hAnsi="Times New Roman" w:cs="Times New Roman"/>
          <w:sz w:val="24"/>
          <w:szCs w:val="24"/>
          <w:lang w:val="ro-MD"/>
        </w:rPr>
        <w:t xml:space="preserve">standarde </w:t>
      </w:r>
      <w:r>
        <w:rPr>
          <w:rFonts w:ascii="Times New Roman" w:hAnsi="Times New Roman" w:cs="Times New Roman"/>
          <w:sz w:val="24"/>
          <w:szCs w:val="24"/>
          <w:lang w:val="ro-MD"/>
        </w:rPr>
        <w:t>minime necesare pentru școli ca să funcționeze conform politicilor educaționale de calitate recent aprobate</w:t>
      </w:r>
      <w:r w:rsidRPr="00F82321">
        <w:rPr>
          <w:rStyle w:val="FootnoteReference"/>
          <w:rFonts w:ascii="Times New Roman" w:hAnsi="Times New Roman" w:cs="Times New Roman"/>
          <w:sz w:val="24"/>
          <w:szCs w:val="24"/>
          <w:lang w:val="ro-MD"/>
        </w:rPr>
        <w:footnoteReference w:id="1"/>
      </w:r>
      <w:r w:rsidRPr="00F82321">
        <w:rPr>
          <w:rFonts w:ascii="Times New Roman" w:hAnsi="Times New Roman" w:cs="Times New Roman"/>
          <w:sz w:val="24"/>
          <w:szCs w:val="24"/>
          <w:lang w:val="ro-MD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standardele sunt definite și structurate ca să satisfacă cerințele și necesitățile MEd, și pentru a permite </w:t>
      </w:r>
      <w:r w:rsidR="00557F2B">
        <w:rPr>
          <w:rFonts w:ascii="Times New Roman" w:hAnsi="Times New Roman" w:cs="Times New Roman"/>
          <w:sz w:val="24"/>
          <w:szCs w:val="24"/>
          <w:lang w:val="ro-MD"/>
        </w:rPr>
        <w:t xml:space="preserve">monitorizarea </w:t>
      </w:r>
      <w:r>
        <w:rPr>
          <w:rFonts w:ascii="Times New Roman" w:hAnsi="Times New Roman" w:cs="Times New Roman"/>
          <w:sz w:val="24"/>
          <w:szCs w:val="24"/>
          <w:lang w:val="ro-MD"/>
        </w:rPr>
        <w:t>implementării.</w:t>
      </w:r>
    </w:p>
    <w:p w14:paraId="2F281689" w14:textId="77777777" w:rsidR="006C4BD1" w:rsidRPr="006C3DAD" w:rsidRDefault="006C4BD1" w:rsidP="006C4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C3DAD">
        <w:rPr>
          <w:rFonts w:ascii="Times New Roman" w:hAnsi="Times New Roman" w:cs="Times New Roman"/>
          <w:b/>
          <w:sz w:val="24"/>
          <w:szCs w:val="24"/>
          <w:lang w:val="ro-MD"/>
        </w:rPr>
        <w:t>Standardele opera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ț</w:t>
      </w:r>
      <w:r w:rsidRPr="006C3DAD">
        <w:rPr>
          <w:rFonts w:ascii="Times New Roman" w:hAnsi="Times New Roman" w:cs="Times New Roman"/>
          <w:b/>
          <w:sz w:val="24"/>
          <w:szCs w:val="24"/>
          <w:lang w:val="ro-MD"/>
        </w:rPr>
        <w:t xml:space="preserve">ionale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minime</w:t>
      </w:r>
    </w:p>
    <w:p w14:paraId="2FF54D1A" w14:textId="77777777" w:rsidR="006C4BD1" w:rsidRPr="00F82321" w:rsidRDefault="006C4BD1" w:rsidP="006C4BD1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Aceste standarde operaționale minime sunt prezentate ca o listă de verificare a indicatorilor obiectivi, măsurabili și verificabili pentru evaluarea progresului pe termen scurt în îmbunătățirea calității educației. </w:t>
      </w:r>
    </w:p>
    <w:p w14:paraId="709BB549" w14:textId="77777777" w:rsidR="001F0EAD" w:rsidRPr="000F1DB6" w:rsidRDefault="00F94551" w:rsidP="00E40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B6">
        <w:rPr>
          <w:rFonts w:ascii="Times New Roman" w:hAnsi="Times New Roman" w:cs="Times New Roman"/>
          <w:sz w:val="24"/>
          <w:szCs w:val="24"/>
        </w:rPr>
        <w:t>.</w:t>
      </w:r>
    </w:p>
    <w:p w14:paraId="20869F5E" w14:textId="77777777" w:rsidR="00F94551" w:rsidRPr="000F1DB6" w:rsidRDefault="00F94551" w:rsidP="001F0EAD">
      <w:pPr>
        <w:rPr>
          <w:rFonts w:ascii="Times New Roman" w:hAnsi="Times New Roman" w:cs="Times New Roman"/>
          <w:b/>
          <w:sz w:val="24"/>
          <w:szCs w:val="24"/>
        </w:rPr>
      </w:pPr>
    </w:p>
    <w:p w14:paraId="679C97B6" w14:textId="77777777" w:rsidR="00F94551" w:rsidRPr="000F1DB6" w:rsidRDefault="00F94551" w:rsidP="001F0EAD">
      <w:pPr>
        <w:rPr>
          <w:rFonts w:ascii="Times New Roman" w:hAnsi="Times New Roman" w:cs="Times New Roman"/>
          <w:b/>
          <w:sz w:val="24"/>
          <w:szCs w:val="24"/>
        </w:rPr>
        <w:sectPr w:rsidR="00F94551" w:rsidRPr="000F1DB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705"/>
        <w:gridCol w:w="3674"/>
        <w:gridCol w:w="3373"/>
      </w:tblGrid>
      <w:tr w:rsidR="006C4BD1" w:rsidRPr="000F1DB6" w14:paraId="36CA2B02" w14:textId="77777777" w:rsidTr="00FB31F7">
        <w:trPr>
          <w:tblHeader/>
        </w:trPr>
        <w:tc>
          <w:tcPr>
            <w:tcW w:w="4644" w:type="dxa"/>
            <w:shd w:val="clear" w:color="auto" w:fill="92CDDC" w:themeFill="accent5" w:themeFillTint="99"/>
          </w:tcPr>
          <w:p w14:paraId="7D7514A7" w14:textId="77777777" w:rsidR="006C4BD1" w:rsidRPr="00F504C4" w:rsidRDefault="006C4BD1" w:rsidP="006C4BD1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Standardul</w:t>
            </w: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operațional</w:t>
            </w:r>
          </w:p>
        </w:tc>
        <w:tc>
          <w:tcPr>
            <w:tcW w:w="2705" w:type="dxa"/>
            <w:shd w:val="clear" w:color="auto" w:fill="92CDDC" w:themeFill="accent5" w:themeFillTint="99"/>
          </w:tcPr>
          <w:p w14:paraId="0FA64E52" w14:textId="77777777" w:rsidR="006C4BD1" w:rsidRPr="00F504C4" w:rsidRDefault="006C4BD1" w:rsidP="006C4BD1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Surse </w:t>
            </w: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de verificare </w:t>
            </w:r>
          </w:p>
        </w:tc>
        <w:tc>
          <w:tcPr>
            <w:tcW w:w="3674" w:type="dxa"/>
            <w:shd w:val="clear" w:color="auto" w:fill="92CDDC" w:themeFill="accent5" w:themeFillTint="99"/>
          </w:tcPr>
          <w:p w14:paraId="7A1758CE" w14:textId="77777777" w:rsidR="006C4BD1" w:rsidRPr="00F504C4" w:rsidRDefault="006C4BD1" w:rsidP="006C4BD1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Standardul de calitate asociat</w:t>
            </w:r>
          </w:p>
          <w:p w14:paraId="6CB6DFCD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Cs w:val="24"/>
                <w:lang w:val="ro-MD"/>
              </w:rPr>
              <w:t>(conform Ordinului Ministrului Educației nr. 970 din 11.10.2013)</w:t>
            </w:r>
          </w:p>
        </w:tc>
        <w:tc>
          <w:tcPr>
            <w:tcW w:w="3373" w:type="dxa"/>
            <w:shd w:val="clear" w:color="auto" w:fill="92CDDC" w:themeFill="accent5" w:themeFillTint="99"/>
          </w:tcPr>
          <w:p w14:paraId="3EB4BD2D" w14:textId="77777777" w:rsidR="006C4BD1" w:rsidRPr="00F504C4" w:rsidRDefault="006C4BD1" w:rsidP="006C4BD1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Comentarii</w:t>
            </w:r>
          </w:p>
        </w:tc>
      </w:tr>
      <w:tr w:rsidR="00336BC6" w:rsidRPr="00BF28A0" w14:paraId="15614586" w14:textId="77777777" w:rsidTr="00FB31F7">
        <w:tc>
          <w:tcPr>
            <w:tcW w:w="11023" w:type="dxa"/>
            <w:gridSpan w:val="3"/>
            <w:shd w:val="clear" w:color="auto" w:fill="FDE9D9" w:themeFill="accent6" w:themeFillTint="33"/>
          </w:tcPr>
          <w:p w14:paraId="04E0C665" w14:textId="77777777" w:rsidR="00336BC6" w:rsidRPr="00BF28A0" w:rsidRDefault="006C4BD1" w:rsidP="001F0EA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Dimensi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unea</w:t>
            </w: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Organizarea instituției de învățămînt</w:t>
            </w:r>
          </w:p>
        </w:tc>
        <w:tc>
          <w:tcPr>
            <w:tcW w:w="3373" w:type="dxa"/>
            <w:shd w:val="clear" w:color="auto" w:fill="FDE9D9" w:themeFill="accent6" w:themeFillTint="33"/>
          </w:tcPr>
          <w:p w14:paraId="3E27BBED" w14:textId="77777777" w:rsidR="00336BC6" w:rsidRPr="00BF28A0" w:rsidRDefault="00336BC6" w:rsidP="001F0EA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6C4BD1" w:rsidRPr="00BF28A0" w14:paraId="78A232AB" w14:textId="77777777" w:rsidTr="00FB31F7">
        <w:tc>
          <w:tcPr>
            <w:tcW w:w="4644" w:type="dxa"/>
          </w:tcPr>
          <w:p w14:paraId="4FB4D1A9" w14:textId="77777777" w:rsidR="006C4BD1" w:rsidRPr="00F504C4" w:rsidRDefault="006C4BD1" w:rsidP="006C4B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deține toate autorizațiile și licențele prevăzute de lege pentru toate clădirile școlii, inclusiv pentru cantină. </w:t>
            </w:r>
          </w:p>
        </w:tc>
        <w:tc>
          <w:tcPr>
            <w:tcW w:w="2705" w:type="dxa"/>
          </w:tcPr>
          <w:p w14:paraId="66DC3222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legale și autorizațiile</w:t>
            </w:r>
          </w:p>
        </w:tc>
        <w:tc>
          <w:tcPr>
            <w:tcW w:w="3674" w:type="dxa"/>
          </w:tcPr>
          <w:p w14:paraId="287C3837" w14:textId="77777777" w:rsidR="006C4BD1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asigură securitatea și protecția tuturor elevilor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1.1.1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1.1.4)</w:t>
            </w:r>
          </w:p>
          <w:p w14:paraId="4085651B" w14:textId="77777777" w:rsidR="006C4BD1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Standardul 4.1: Instituția de învățămînt creează condiții de organizare și realizare a unui proces educațional de calitate</w:t>
            </w:r>
          </w:p>
          <w:p w14:paraId="58848F74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(indicatorul 4.1.6)</w:t>
            </w:r>
          </w:p>
          <w:p w14:paraId="70803C64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14:paraId="0299ADB6" w14:textId="40240B40" w:rsidR="006C4BD1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Normativele în construcții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NCM C01.03-2000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 4.1 și Regulamentul</w:t>
            </w:r>
            <w:r w:rsidR="007056A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sanitaro-epidemiologic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</w:p>
          <w:p w14:paraId="5CA9C973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445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Documentele legale și autorizațiile sunt considerate acelea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prevăzute</w:t>
            </w:r>
            <w:r w:rsidRPr="006445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cadrul legal la data verificării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</w:p>
        </w:tc>
      </w:tr>
      <w:tr w:rsidR="006C4BD1" w:rsidRPr="000F1DB6" w14:paraId="0FCE1905" w14:textId="77777777" w:rsidTr="00FB31F7">
        <w:tc>
          <w:tcPr>
            <w:tcW w:w="4644" w:type="dxa"/>
          </w:tcPr>
          <w:p w14:paraId="017EBE90" w14:textId="77777777" w:rsidR="006C4BD1" w:rsidRPr="00F504C4" w:rsidRDefault="006C4BD1" w:rsidP="006C4B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Bugetul școlii este echilibrat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705" w:type="dxa"/>
          </w:tcPr>
          <w:p w14:paraId="76615846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Bugetul școlii și documentele financiare prezentate de către Direcția finanțe a Consiliului raional sau de către Trezoreria locală unde școala are conturi. </w:t>
            </w:r>
          </w:p>
        </w:tc>
        <w:tc>
          <w:tcPr>
            <w:tcW w:w="3674" w:type="dxa"/>
          </w:tcPr>
          <w:p w14:paraId="0F847DF4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creează condiții de organizare și realizare a unui proces educațional de calitate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3373" w:type="dxa"/>
          </w:tcPr>
          <w:p w14:paraId="68E0B6B4" w14:textId="18C8E536" w:rsidR="006C4BD1" w:rsidRPr="00F504C4" w:rsidRDefault="006C4BD1" w:rsidP="00847742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Noul Regulament privind finanțarea </w:t>
            </w:r>
            <w:r w:rsidR="008477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în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bază de cost standard per elev, aprobat prin Hotărîrea de Guvern nr. 868 din 08 octombrie 2014. </w:t>
            </w:r>
          </w:p>
        </w:tc>
      </w:tr>
      <w:tr w:rsidR="006C4BD1" w:rsidRPr="000F1DB6" w14:paraId="2EA6D8D7" w14:textId="77777777" w:rsidTr="00FB31F7">
        <w:tc>
          <w:tcPr>
            <w:tcW w:w="4644" w:type="dxa"/>
          </w:tcPr>
          <w:p w14:paraId="70A2916E" w14:textId="77777777" w:rsidR="006C4BD1" w:rsidRPr="00F504C4" w:rsidRDefault="006C4BD1" w:rsidP="006C4B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Elevii din alte localități sunt transportați în siguranță la instituția de învățămînt, în conformitate cu cadrul legal relevant.</w:t>
            </w:r>
          </w:p>
        </w:tc>
        <w:tc>
          <w:tcPr>
            <w:tcW w:w="2705" w:type="dxa"/>
          </w:tcPr>
          <w:p w14:paraId="27B22724" w14:textId="69B0E403" w:rsidR="006C4BD1" w:rsidRPr="00F504C4" w:rsidRDefault="006C4BD1" w:rsidP="00AC32E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instituției de învățămînt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="00AC32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observări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exemplu,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existen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ța autobuzelor școlare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transporta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 copiilor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3674" w:type="dxa"/>
          </w:tcPr>
          <w:p w14:paraId="7894656B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asigură securitatea și protecția tuturor elevilor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1.1.5)</w:t>
            </w:r>
          </w:p>
          <w:p w14:paraId="7003B5CD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14:paraId="59626418" w14:textId="77777777" w:rsidR="006C4BD1" w:rsidRPr="00F504C4" w:rsidRDefault="006C4BD1" w:rsidP="006C4B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Noul Regulament privind transportarea elevilor aprobat prin Hotărîrea de Guvern nr. 903 din 30 octombrie 2014.  </w:t>
            </w:r>
          </w:p>
        </w:tc>
      </w:tr>
      <w:tr w:rsidR="00A416E8" w:rsidRPr="000F1DB6" w14:paraId="2782C1E6" w14:textId="77777777" w:rsidTr="00FB31F7">
        <w:tc>
          <w:tcPr>
            <w:tcW w:w="4644" w:type="dxa"/>
          </w:tcPr>
          <w:p w14:paraId="51D98E11" w14:textId="76440C55" w:rsidR="00A416E8" w:rsidRPr="00BF28A0" w:rsidRDefault="00A416E8" w:rsidP="00A416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colectează și actualizează date </w:t>
            </w:r>
            <w:r w:rsidR="00E2004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on-line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pentru Sistemul Informațional de Management în Educație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(SIME) și dispune de cel puțin un calculator conectat la Internet pentru conducerea școlii.</w:t>
            </w:r>
          </w:p>
        </w:tc>
        <w:tc>
          <w:tcPr>
            <w:tcW w:w="2705" w:type="dxa"/>
          </w:tcPr>
          <w:p w14:paraId="222BF37A" w14:textId="7B6ECFBB" w:rsidR="00A416E8" w:rsidRPr="000F1DB6" w:rsidRDefault="00A416E8" w:rsidP="00A4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Documentele SIME</w:t>
            </w:r>
          </w:p>
        </w:tc>
        <w:tc>
          <w:tcPr>
            <w:tcW w:w="3674" w:type="dxa"/>
          </w:tcPr>
          <w:p w14:paraId="230D387B" w14:textId="65244233" w:rsidR="00A416E8" w:rsidRPr="000F1DB6" w:rsidRDefault="00A416E8" w:rsidP="00A4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3.1: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educațională cuprinde toți copiii, indiferent de naționalitate, gen,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origine și stare socială, apartenență politică sau religioasă, stare a sănătății și creează condiții optime pentru realizarea și dezvoltarea potențialului propriu în cadrul procesului educațional (indicatorul 3.1.7)</w:t>
            </w:r>
          </w:p>
        </w:tc>
        <w:tc>
          <w:tcPr>
            <w:tcW w:w="3373" w:type="dxa"/>
          </w:tcPr>
          <w:p w14:paraId="4D3C9090" w14:textId="77777777" w:rsidR="00A416E8" w:rsidRPr="000F1DB6" w:rsidRDefault="00A416E8" w:rsidP="00A4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47" w:rsidRPr="000F1DB6" w14:paraId="7356147F" w14:textId="77777777" w:rsidTr="00845191">
        <w:trPr>
          <w:trHeight w:val="233"/>
        </w:trPr>
        <w:tc>
          <w:tcPr>
            <w:tcW w:w="11023" w:type="dxa"/>
            <w:gridSpan w:val="3"/>
            <w:shd w:val="clear" w:color="auto" w:fill="FDE9D9" w:themeFill="accent6" w:themeFillTint="33"/>
          </w:tcPr>
          <w:p w14:paraId="5E55695F" w14:textId="6FF4CA8B" w:rsidR="00D27847" w:rsidRPr="000F1DB6" w:rsidRDefault="00A416E8" w:rsidP="001F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Dimensi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unea</w:t>
            </w: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Predarea și învățarea</w:t>
            </w:r>
          </w:p>
        </w:tc>
        <w:tc>
          <w:tcPr>
            <w:tcW w:w="3373" w:type="dxa"/>
            <w:shd w:val="clear" w:color="auto" w:fill="FDE9D9" w:themeFill="accent6" w:themeFillTint="33"/>
          </w:tcPr>
          <w:p w14:paraId="0DB85308" w14:textId="77777777" w:rsidR="00D27847" w:rsidRPr="000F1DB6" w:rsidRDefault="00D27847" w:rsidP="001F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6E8" w:rsidRPr="00BF28A0" w14:paraId="19581CDC" w14:textId="77777777" w:rsidTr="00FB31F7">
        <w:tc>
          <w:tcPr>
            <w:tcW w:w="4644" w:type="dxa"/>
          </w:tcPr>
          <w:p w14:paraId="485D4DFD" w14:textId="50B78C52" w:rsidR="00A416E8" w:rsidRPr="00BF28A0" w:rsidRDefault="00A416E8" w:rsidP="00A416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dispune de cadre didactice calificate pentru toate disciplinele obligatorii conform curriculumului național și planului cadru de învățămînt și pentru toate disciplinele opționale stabilite la nivelul școlii.  </w:t>
            </w:r>
          </w:p>
        </w:tc>
        <w:tc>
          <w:tcPr>
            <w:tcW w:w="2705" w:type="dxa"/>
          </w:tcPr>
          <w:p w14:paraId="3E85B482" w14:textId="1FAED9F9" w:rsidR="00A416E8" w:rsidRPr="00BF28A0" w:rsidRDefault="00A416E8" w:rsidP="00A416E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instituției de învățămînt privind calificările cadrelor didactice</w:t>
            </w:r>
          </w:p>
        </w:tc>
        <w:tc>
          <w:tcPr>
            <w:tcW w:w="3674" w:type="dxa"/>
          </w:tcPr>
          <w:p w14:paraId="2A6AB1A6" w14:textId="4AF6E4B2" w:rsidR="00A416E8" w:rsidRPr="000F1DB6" w:rsidRDefault="00A416E8" w:rsidP="00A4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4.2: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Cadrele didactice valorifică eficient resursele educaționale in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raport cu finalitățile stabilite prin curriculum național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4.2.3)</w:t>
            </w:r>
          </w:p>
        </w:tc>
        <w:tc>
          <w:tcPr>
            <w:tcW w:w="3373" w:type="dxa"/>
          </w:tcPr>
          <w:p w14:paraId="2C8F0759" w14:textId="77777777" w:rsidR="00A416E8" w:rsidRDefault="00A416E8" w:rsidP="00A416E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Un cadru didactic se consideră calificat dacă acesta are gradul/calificarea conform legii pentru a preda o anumită disciplină.</w:t>
            </w:r>
          </w:p>
          <w:p w14:paraId="31B5750C" w14:textId="18CBADAC" w:rsidR="00A416E8" w:rsidRPr="00BF28A0" w:rsidRDefault="00A416E8" w:rsidP="008655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Directorul instituției de învățămînt este responsabil pentru </w:t>
            </w:r>
            <w:r w:rsidR="008655A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repartizarea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personalului școlii.  </w:t>
            </w:r>
          </w:p>
        </w:tc>
      </w:tr>
      <w:tr w:rsidR="00A53F76" w:rsidRPr="000F1DB6" w14:paraId="214BA222" w14:textId="77777777" w:rsidTr="00FB31F7">
        <w:tc>
          <w:tcPr>
            <w:tcW w:w="4644" w:type="dxa"/>
          </w:tcPr>
          <w:p w14:paraId="6457F30B" w14:textId="6E0E0010" w:rsidR="00A53F76" w:rsidRPr="00BF28A0" w:rsidRDefault="00A53F76" w:rsidP="001255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acordă asistență </w:t>
            </w:r>
            <w:r w:rsidR="0012558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didactică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și psihologică și dispune de cadre didactice de sprijin pentru incluziunea elevilor cu cerințe educaționale speciale</w:t>
            </w:r>
            <w:r w:rsidR="00595C4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după necesitate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2705" w:type="dxa"/>
          </w:tcPr>
          <w:p w14:paraId="1D13E602" w14:textId="13506ACD" w:rsidR="00A53F76" w:rsidRPr="000F1DB6" w:rsidRDefault="00A53F76" w:rsidP="00A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Planuri educaționale individualizate, interviuri cu reprezentanții serviciilor locale de asistență pedagogică și psihologică </w:t>
            </w:r>
          </w:p>
        </w:tc>
        <w:tc>
          <w:tcPr>
            <w:tcW w:w="3674" w:type="dxa"/>
          </w:tcPr>
          <w:p w14:paraId="1F6B9B9E" w14:textId="0D6330BE" w:rsidR="00A53F76" w:rsidRPr="000F1DB6" w:rsidRDefault="00A53F76" w:rsidP="00A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3.1: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educațională cuprinde toți copiii, indiferent de naționalitate, gen, origine și stare socială, apartenență politică sau religioasă, stare a sănătății și creează condiții optime pentru realizarea și dezvoltarea potențialului propriu în cadrul procesului educațional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3.1.2)</w:t>
            </w:r>
          </w:p>
        </w:tc>
        <w:tc>
          <w:tcPr>
            <w:tcW w:w="3373" w:type="dxa"/>
          </w:tcPr>
          <w:p w14:paraId="7E3DBB69" w14:textId="2A254F8A" w:rsidR="00A53F76" w:rsidRPr="00290856" w:rsidRDefault="00A53F76" w:rsidP="0003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>Definiția cerințe educaționale speciale</w:t>
            </w:r>
            <w:r w:rsidR="008655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 </w:t>
            </w:r>
            <w:r w:rsidRPr="00EC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– </w:t>
            </w:r>
            <w:r w:rsidRPr="00EC5A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necesități educaționale ale copilului/elevului/ studentului, care implică o școlarizare adaptată particularităților individuale sau caracteristice unei dizabilități ori tulburări de învățare, precum și o intervenție specifică prin acțiuni de reabilitare sau recuperare corespunzătoare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(Codul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Educației, nr. 152 din 17 iulie 2014)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C134AD" w:rsidRPr="00BF28A0" w14:paraId="652A80A2" w14:textId="77777777" w:rsidTr="00FB31F7">
        <w:tc>
          <w:tcPr>
            <w:tcW w:w="4644" w:type="dxa"/>
          </w:tcPr>
          <w:p w14:paraId="6D97B6E9" w14:textId="6F43E80D" w:rsidR="00C134AD" w:rsidRPr="00BF28A0" w:rsidRDefault="00C134AD" w:rsidP="008655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Cel puțin 1/3 din cadrele didactice din instituția de învățămînt au participat la programe de formare profesională continuă pentru </w:t>
            </w:r>
            <w:r w:rsidR="008655A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cadre didactice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în ultimii 3 ani</w:t>
            </w:r>
          </w:p>
        </w:tc>
        <w:tc>
          <w:tcPr>
            <w:tcW w:w="2705" w:type="dxa"/>
          </w:tcPr>
          <w:p w14:paraId="4A7EAAF0" w14:textId="77777777" w:rsidR="00C134AD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Certificate de instruire;</w:t>
            </w:r>
          </w:p>
          <w:p w14:paraId="7050EA33" w14:textId="7870902D" w:rsidR="00C134AD" w:rsidRPr="00BF28A0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2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Punctajul de evaluare anuală a cadrului didactic</w:t>
            </w:r>
          </w:p>
        </w:tc>
        <w:tc>
          <w:tcPr>
            <w:tcW w:w="3674" w:type="dxa"/>
          </w:tcPr>
          <w:p w14:paraId="7D038F6D" w14:textId="36BFC6E4" w:rsidR="008655A4" w:rsidRDefault="008655A4" w:rsidP="008655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creează condiții de organizare și realizare a unui proces educațional de calitate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4.1.</w:t>
            </w:r>
            <w:r w:rsidR="00380EB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6B35938C" w14:textId="11580A22" w:rsidR="00C134AD" w:rsidRPr="008655A4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14:paraId="016A46CB" w14:textId="28AEAB09" w:rsidR="00C134AD" w:rsidRPr="00BF28A0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16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>Cursurile de instruire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 pot fi considerate independente de bugetul școlii. Instituția de învățămînt poate să utilizeze toate oportunitățile de instruire.</w:t>
            </w:r>
          </w:p>
        </w:tc>
      </w:tr>
      <w:tr w:rsidR="000922A5" w:rsidRPr="000F1DB6" w14:paraId="77F4AFDC" w14:textId="77777777" w:rsidTr="00FB31F7">
        <w:trPr>
          <w:trHeight w:val="485"/>
        </w:trPr>
        <w:tc>
          <w:tcPr>
            <w:tcW w:w="11023" w:type="dxa"/>
            <w:gridSpan w:val="3"/>
            <w:shd w:val="clear" w:color="auto" w:fill="FDE9D9" w:themeFill="accent6" w:themeFillTint="33"/>
          </w:tcPr>
          <w:p w14:paraId="2A95AB1C" w14:textId="746261D7" w:rsidR="000922A5" w:rsidRPr="000F1DB6" w:rsidRDefault="00C134AD" w:rsidP="0087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Dimensi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unea</w:t>
            </w: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3: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Infrastructura școlară și echipamentul</w:t>
            </w: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(inclu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siv echipamentul IT</w:t>
            </w:r>
          </w:p>
        </w:tc>
        <w:tc>
          <w:tcPr>
            <w:tcW w:w="3373" w:type="dxa"/>
            <w:shd w:val="clear" w:color="auto" w:fill="FDE9D9" w:themeFill="accent6" w:themeFillTint="33"/>
          </w:tcPr>
          <w:p w14:paraId="4AD21176" w14:textId="77777777" w:rsidR="000922A5" w:rsidRPr="000F1DB6" w:rsidRDefault="000922A5" w:rsidP="0087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AD" w:rsidRPr="00BF28A0" w14:paraId="61E40660" w14:textId="77777777" w:rsidTr="00FB31F7">
        <w:tc>
          <w:tcPr>
            <w:tcW w:w="4644" w:type="dxa"/>
          </w:tcPr>
          <w:p w14:paraId="1EBD1531" w14:textId="77777777" w:rsidR="00C134AD" w:rsidRPr="00F504C4" w:rsidRDefault="00C134AD" w:rsidP="00C134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Activitățile educaționale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 desfășoară în spații bine amenajate și destinate acestor activități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</w:p>
          <w:p w14:paraId="56E2BF4F" w14:textId="77777777" w:rsidR="00C134AD" w:rsidRPr="00F504C4" w:rsidRDefault="00C134AD" w:rsidP="00C134A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Săli de clasă</w:t>
            </w:r>
          </w:p>
          <w:p w14:paraId="53D2109D" w14:textId="77777777" w:rsidR="00C134AD" w:rsidRPr="00F504C4" w:rsidRDefault="00C134AD" w:rsidP="00C134A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Laborato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are de fizică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ch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imie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biolog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ie</w:t>
            </w:r>
          </w:p>
          <w:p w14:paraId="3CD44BD9" w14:textId="77777777" w:rsidR="00C134AD" w:rsidRPr="00F504C4" w:rsidRDefault="00C134AD" w:rsidP="00C134A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Sală de calculatoare</w:t>
            </w:r>
          </w:p>
          <w:p w14:paraId="376EA47E" w14:textId="77777777" w:rsidR="00C134AD" w:rsidRPr="00F504C4" w:rsidRDefault="00C134AD" w:rsidP="00C134A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Sală/teren de sport </w:t>
            </w:r>
          </w:p>
          <w:p w14:paraId="784AC916" w14:textId="2AA93564" w:rsidR="00C134AD" w:rsidRPr="00ED47DB" w:rsidRDefault="00C134AD" w:rsidP="00C134A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Bibliotecă</w:t>
            </w:r>
          </w:p>
        </w:tc>
        <w:tc>
          <w:tcPr>
            <w:tcW w:w="2705" w:type="dxa"/>
          </w:tcPr>
          <w:p w14:paraId="68115760" w14:textId="0769326A" w:rsidR="00C134AD" w:rsidRPr="00BF28A0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instituției de învățămînt, observări</w:t>
            </w:r>
          </w:p>
        </w:tc>
        <w:tc>
          <w:tcPr>
            <w:tcW w:w="3674" w:type="dxa"/>
          </w:tcPr>
          <w:p w14:paraId="7DD005B9" w14:textId="77777777" w:rsidR="00C134AD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creează condiții de organizare și realizare a unui proces educațional de calitate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4.1.6)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6C5FC70B" w14:textId="30787C19" w:rsidR="00C134AD" w:rsidRPr="00BF28A0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De asemenea</w:t>
            </w:r>
            <w:r w:rsidRPr="00F504C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: </w:t>
            </w:r>
            <w:r w:rsidRPr="00E9356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Normativele în construcții N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CM C01.03-2000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r. 5.4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5.5</w:t>
            </w:r>
          </w:p>
        </w:tc>
        <w:tc>
          <w:tcPr>
            <w:tcW w:w="3373" w:type="dxa"/>
          </w:tcPr>
          <w:p w14:paraId="3163EF67" w14:textId="77777777" w:rsidR="00C134AD" w:rsidRPr="00BF28A0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34AD" w:rsidRPr="00BF28A0" w14:paraId="74AE3D96" w14:textId="77777777" w:rsidTr="00FB31F7">
        <w:tc>
          <w:tcPr>
            <w:tcW w:w="4644" w:type="dxa"/>
          </w:tcPr>
          <w:p w14:paraId="03D5876A" w14:textId="0465BD58" w:rsidR="00C134AD" w:rsidRPr="00F94571" w:rsidRDefault="00C134AD" w:rsidP="00C134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Spațiile școlare sunt accesibile pentru elevii cu cerințe educaționale speciale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special rampele de acces și blocurile sanitare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accesib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</w:t>
            </w:r>
            <w:r w:rsidR="00AA2C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705" w:type="dxa"/>
          </w:tcPr>
          <w:p w14:paraId="31B8AE9F" w14:textId="5AF9C1D8" w:rsidR="00C134AD" w:rsidRPr="000F1DB6" w:rsidRDefault="00C134AD" w:rsidP="00C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Observări</w:t>
            </w:r>
          </w:p>
        </w:tc>
        <w:tc>
          <w:tcPr>
            <w:tcW w:w="3674" w:type="dxa"/>
          </w:tcPr>
          <w:p w14:paraId="04796633" w14:textId="77777777" w:rsidR="00C134AD" w:rsidRPr="00F504C4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3.3: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Toți copiii beneficiază de un mediu accesibil și favorabil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3.3.6)</w:t>
            </w:r>
          </w:p>
          <w:p w14:paraId="1CB846D6" w14:textId="40525D29" w:rsidR="00C134AD" w:rsidRPr="00BF28A0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De asemenea</w:t>
            </w:r>
            <w:r w:rsidRPr="00F504C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: </w:t>
            </w:r>
            <w:r w:rsidRPr="00C05B1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Normativele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construcții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NCM C01.03-2000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r. 8.15</w:t>
            </w:r>
          </w:p>
        </w:tc>
        <w:tc>
          <w:tcPr>
            <w:tcW w:w="3373" w:type="dxa"/>
          </w:tcPr>
          <w:p w14:paraId="6482456C" w14:textId="77777777" w:rsidR="00C134AD" w:rsidRPr="00BF28A0" w:rsidRDefault="00C134AD" w:rsidP="00C134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2E57" w:rsidRPr="000F1DB6" w14:paraId="76DAA118" w14:textId="77777777" w:rsidTr="00FB31F7">
        <w:tc>
          <w:tcPr>
            <w:tcW w:w="4644" w:type="dxa"/>
          </w:tcPr>
          <w:p w14:paraId="5B7D9F46" w14:textId="22BF3078" w:rsidR="009A2E57" w:rsidRPr="00BF28A0" w:rsidRDefault="009A2E57" w:rsidP="009A2E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Clădirile școlare, inclusiv cantinele dispun de sisteme funcționale de alimentare cu apă și de canalizare, blocuri sanitare interne, aprovizionare cu energie termică și electrică, și de telecomunicații,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în conformitate cu normativele naționale în construcții. </w:t>
            </w:r>
          </w:p>
        </w:tc>
        <w:tc>
          <w:tcPr>
            <w:tcW w:w="2705" w:type="dxa"/>
          </w:tcPr>
          <w:p w14:paraId="7D541CF6" w14:textId="45FD3632" w:rsidR="009A2E57" w:rsidRPr="000F1DB6" w:rsidRDefault="009A2E57" w:rsidP="009A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Observări</w:t>
            </w:r>
          </w:p>
        </w:tc>
        <w:tc>
          <w:tcPr>
            <w:tcW w:w="3674" w:type="dxa"/>
          </w:tcPr>
          <w:p w14:paraId="26C3A3CD" w14:textId="77777777" w:rsidR="009A2E57" w:rsidRDefault="009A2E57" w:rsidP="009A2E5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creează condiții de organizare și realizare a unui proces educațional de calitate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4.1.6)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48A40243" w14:textId="3A6FC33E" w:rsidR="009A2E57" w:rsidRPr="000F1DB6" w:rsidRDefault="009A2E57" w:rsidP="009A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lastRenderedPageBreak/>
              <w:t>De asemenea</w:t>
            </w:r>
            <w:r w:rsidRPr="00F504C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: </w:t>
            </w:r>
            <w:r w:rsidRPr="00500D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Normativele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în construcții</w:t>
            </w:r>
            <w:r w:rsidRPr="00500D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NCM C01.03-2000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r. 8.1-8.6</w:t>
            </w:r>
          </w:p>
        </w:tc>
        <w:tc>
          <w:tcPr>
            <w:tcW w:w="3373" w:type="dxa"/>
          </w:tcPr>
          <w:p w14:paraId="56F7ADFD" w14:textId="77777777" w:rsidR="009A2E57" w:rsidRPr="000F1DB6" w:rsidRDefault="009A2E57" w:rsidP="009A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7" w:rsidRPr="000F1DB6" w14:paraId="38FBDFF4" w14:textId="77777777" w:rsidTr="00FB31F7">
        <w:tc>
          <w:tcPr>
            <w:tcW w:w="4644" w:type="dxa"/>
          </w:tcPr>
          <w:p w14:paraId="3C62FBEC" w14:textId="3AC99496" w:rsidR="009A2E57" w:rsidRPr="00BF28A0" w:rsidRDefault="009A2E57" w:rsidP="009A2E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Mobilierul din sălile de clasă și alte spații destinate activității școlare este adecvat și îndeplinește cerințele de siguranță.  </w:t>
            </w:r>
          </w:p>
        </w:tc>
        <w:tc>
          <w:tcPr>
            <w:tcW w:w="2705" w:type="dxa"/>
          </w:tcPr>
          <w:p w14:paraId="3C675D48" w14:textId="1AC833E0" w:rsidR="009A2E57" w:rsidRPr="000F1DB6" w:rsidRDefault="009A2E57" w:rsidP="009A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Observări</w:t>
            </w:r>
          </w:p>
        </w:tc>
        <w:tc>
          <w:tcPr>
            <w:tcW w:w="3674" w:type="dxa"/>
          </w:tcPr>
          <w:p w14:paraId="3B38D860" w14:textId="77777777" w:rsidR="009A2E57" w:rsidRDefault="009A2E57" w:rsidP="009A2E5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creează condiții de organizare și realizare a unui proces educațional de calitate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4.1.6)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165052DA" w14:textId="0ED1B817" w:rsidR="009A2E57" w:rsidRPr="000F1DB6" w:rsidRDefault="009A2E57" w:rsidP="009A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De asemenea</w:t>
            </w:r>
            <w:r w:rsidRPr="00F504C4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: </w:t>
            </w:r>
            <w:r w:rsidRPr="00FF113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Normativele în construcții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NCM C01.03-2000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r. 7.17</w:t>
            </w:r>
          </w:p>
        </w:tc>
        <w:tc>
          <w:tcPr>
            <w:tcW w:w="3373" w:type="dxa"/>
          </w:tcPr>
          <w:p w14:paraId="22873B55" w14:textId="77777777" w:rsidR="009A2E57" w:rsidRPr="000F1DB6" w:rsidRDefault="009A2E57" w:rsidP="009A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FC" w:rsidRPr="00BF28A0" w14:paraId="48D2C95E" w14:textId="77777777" w:rsidTr="00FB31F7">
        <w:tc>
          <w:tcPr>
            <w:tcW w:w="4644" w:type="dxa"/>
          </w:tcPr>
          <w:p w14:paraId="31CB76B2" w14:textId="61D80A86" w:rsidR="00AD78FC" w:rsidRPr="00BF28A0" w:rsidRDefault="00AD78FC" w:rsidP="00AD78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de învățămînt dispune de o clasă de calculatoare cu cel puțin 11 calculatoare conectate la Internet destinate utilizării de către elevi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2705" w:type="dxa"/>
          </w:tcPr>
          <w:p w14:paraId="65956972" w14:textId="226FC45A" w:rsidR="00AD78FC" w:rsidRPr="00BF28A0" w:rsidRDefault="00AD78FC" w:rsidP="00AD78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instituției de învățămînt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observări</w:t>
            </w:r>
          </w:p>
        </w:tc>
        <w:tc>
          <w:tcPr>
            <w:tcW w:w="3674" w:type="dxa"/>
          </w:tcPr>
          <w:p w14:paraId="22032873" w14:textId="77777777" w:rsidR="00AD78FC" w:rsidRPr="00F504C4" w:rsidRDefault="00AD78FC" w:rsidP="00AD78F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de învățămînt creează condiții de organizare și realizare a unui proces educațional de calitate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4.1.7)</w:t>
            </w:r>
          </w:p>
          <w:p w14:paraId="52B9FFF1" w14:textId="6E33857D" w:rsidR="00AD78FC" w:rsidRPr="00BF28A0" w:rsidRDefault="00AD78FC" w:rsidP="00AD78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4.2: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Cadrele didactice valorifică eficient resursele educaționale în raport cu finalitățile stabilite prin curriculum național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4.2.8)</w:t>
            </w:r>
          </w:p>
        </w:tc>
        <w:tc>
          <w:tcPr>
            <w:tcW w:w="3373" w:type="dxa"/>
          </w:tcPr>
          <w:p w14:paraId="449CA781" w14:textId="77777777" w:rsidR="00AD78FC" w:rsidRPr="00BF28A0" w:rsidRDefault="00AD78FC" w:rsidP="00AD78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922A5" w:rsidRPr="000F1DB6" w14:paraId="0CBFCFEB" w14:textId="77777777" w:rsidTr="00FB31F7">
        <w:tc>
          <w:tcPr>
            <w:tcW w:w="11023" w:type="dxa"/>
            <w:gridSpan w:val="3"/>
            <w:shd w:val="clear" w:color="auto" w:fill="FDE9D9" w:themeFill="accent6" w:themeFillTint="33"/>
          </w:tcPr>
          <w:p w14:paraId="5983FC41" w14:textId="7B8FDE64" w:rsidR="000922A5" w:rsidRPr="000F1DB6" w:rsidRDefault="00AD78FC" w:rsidP="0087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Dimensi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unea </w:t>
            </w: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4: Curriculum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ul și evaluarea</w:t>
            </w:r>
          </w:p>
        </w:tc>
        <w:tc>
          <w:tcPr>
            <w:tcW w:w="3373" w:type="dxa"/>
            <w:shd w:val="clear" w:color="auto" w:fill="FDE9D9" w:themeFill="accent6" w:themeFillTint="33"/>
          </w:tcPr>
          <w:p w14:paraId="3771330A" w14:textId="77777777" w:rsidR="000922A5" w:rsidRPr="000F1DB6" w:rsidRDefault="000922A5" w:rsidP="0087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8FC" w:rsidRPr="000F1DB6" w14:paraId="5ECDDEB3" w14:textId="77777777" w:rsidTr="00FB31F7">
        <w:tc>
          <w:tcPr>
            <w:tcW w:w="4644" w:type="dxa"/>
          </w:tcPr>
          <w:p w14:paraId="35981036" w14:textId="10F769F8" w:rsidR="00AD78FC" w:rsidRPr="00BF28A0" w:rsidRDefault="00AD78FC" w:rsidP="00AA2C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are acces la toate documentele curriculare relevante, în special </w:t>
            </w:r>
            <w:r w:rsidR="00D90DC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Planul-cadru de învățămînt, ghidurile metodologice, curricul</w:t>
            </w:r>
            <w:r w:rsidR="00AA2C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fiecare disciplină și manualele școlare. </w:t>
            </w:r>
          </w:p>
        </w:tc>
        <w:tc>
          <w:tcPr>
            <w:tcW w:w="2705" w:type="dxa"/>
          </w:tcPr>
          <w:p w14:paraId="25B2B70B" w14:textId="4260ECAC" w:rsidR="00AD78FC" w:rsidRPr="00BF28A0" w:rsidRDefault="00AD78FC" w:rsidP="00AD78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instituției de învățămînt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observări</w:t>
            </w:r>
          </w:p>
        </w:tc>
        <w:tc>
          <w:tcPr>
            <w:tcW w:w="3674" w:type="dxa"/>
          </w:tcPr>
          <w:p w14:paraId="5424E927" w14:textId="2FB1B25A" w:rsidR="00AD78FC" w:rsidRPr="000F1DB6" w:rsidRDefault="00AD78FC" w:rsidP="00AD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de învățămînt creează condiții de organizare și realizare a unui proces educațional de calitate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4.1.7)</w:t>
            </w:r>
            <w:r w:rsidR="002161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</w:p>
        </w:tc>
        <w:tc>
          <w:tcPr>
            <w:tcW w:w="3373" w:type="dxa"/>
          </w:tcPr>
          <w:p w14:paraId="271153F0" w14:textId="51095AC5" w:rsidR="00AD78FC" w:rsidRPr="000F1DB6" w:rsidRDefault="00AD78FC" w:rsidP="00AD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MEd publică anual documentele relevante pe pagina sa web </w:t>
            </w:r>
          </w:p>
        </w:tc>
      </w:tr>
      <w:tr w:rsidR="00AD78FC" w:rsidRPr="00BF28A0" w14:paraId="55DF59F5" w14:textId="77777777" w:rsidTr="0076772E">
        <w:tc>
          <w:tcPr>
            <w:tcW w:w="4644" w:type="dxa"/>
          </w:tcPr>
          <w:p w14:paraId="7A3D962B" w14:textId="083FB02B" w:rsidR="00AD78FC" w:rsidRPr="00BF28A0" w:rsidRDefault="00AD78FC" w:rsidP="00AD78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aplică curriculumul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structura pe discipline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numărul de ore alocate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care corespunde prevederilor legale privind Planul-cadru de învățămînt pentru anul școlar respectiv. </w:t>
            </w:r>
          </w:p>
        </w:tc>
        <w:tc>
          <w:tcPr>
            <w:tcW w:w="2705" w:type="dxa"/>
          </w:tcPr>
          <w:p w14:paraId="27B6E8EF" w14:textId="170CB66A" w:rsidR="00AD78FC" w:rsidRPr="00BF28A0" w:rsidRDefault="00AD78FC" w:rsidP="00AD78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Documentele instituției de învățămînt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observări</w:t>
            </w:r>
          </w:p>
        </w:tc>
        <w:tc>
          <w:tcPr>
            <w:tcW w:w="3674" w:type="dxa"/>
          </w:tcPr>
          <w:p w14:paraId="2F12CF4C" w14:textId="7736E5C9" w:rsidR="00AD78FC" w:rsidRPr="000F1DB6" w:rsidRDefault="00AD78FC" w:rsidP="00AD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creează condiții de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organizare și realizare a unui proces educațional de calitate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4.1.10)</w:t>
            </w:r>
          </w:p>
        </w:tc>
        <w:tc>
          <w:tcPr>
            <w:tcW w:w="3373" w:type="dxa"/>
          </w:tcPr>
          <w:p w14:paraId="7FA77278" w14:textId="5C287097" w:rsidR="00AD78FC" w:rsidRPr="00BF28A0" w:rsidRDefault="00AD78FC" w:rsidP="00AD78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Documentele instituției de învățămînt vor fi verificate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conform Planului-cadru de învățămînt.   </w:t>
            </w:r>
          </w:p>
        </w:tc>
      </w:tr>
      <w:tr w:rsidR="00AD78FC" w:rsidRPr="000F1DB6" w14:paraId="28F320DA" w14:textId="77777777" w:rsidTr="00FB31F7">
        <w:tc>
          <w:tcPr>
            <w:tcW w:w="4644" w:type="dxa"/>
          </w:tcPr>
          <w:p w14:paraId="1AE561EE" w14:textId="07B49EC0" w:rsidR="00AD78FC" w:rsidRPr="00BF28A0" w:rsidRDefault="00AD78FC" w:rsidP="00AD78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Instituția de învățămînt aplică un plan educațional individualizat pentru copiii cu cerințe educaționale speciale, în conformitate cu recomandările serviciilor de asistență pedagogică și psihologică.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</w:p>
        </w:tc>
        <w:tc>
          <w:tcPr>
            <w:tcW w:w="2705" w:type="dxa"/>
          </w:tcPr>
          <w:p w14:paraId="6AF10A74" w14:textId="77777777" w:rsidR="00AD78FC" w:rsidRDefault="00AD78FC" w:rsidP="00AD78F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instituției de învățămînt:</w:t>
            </w:r>
          </w:p>
          <w:p w14:paraId="6CEAA653" w14:textId="3C2AEA58" w:rsidR="00AD78FC" w:rsidRPr="000F1DB6" w:rsidRDefault="00AD78FC" w:rsidP="00AD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plan educațional individualizat pentru fiecare copil cu cerințe educaționale speciale</w:t>
            </w:r>
          </w:p>
        </w:tc>
        <w:tc>
          <w:tcPr>
            <w:tcW w:w="3674" w:type="dxa"/>
          </w:tcPr>
          <w:p w14:paraId="00FBA735" w14:textId="520665E8" w:rsidR="00AD78FC" w:rsidRPr="000F1DB6" w:rsidRDefault="00AD78FC" w:rsidP="00AD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3.1: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educațională cuprinde toți copiii, indiferent de naționalitate, gen, origine și stare socială, apartenență politică sau religioasă, stare a sănătății și creează condiții optime pentru realizarea și dezvoltarea potențialului propriu în cadrul procesului educațional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3.1.14)</w:t>
            </w:r>
          </w:p>
        </w:tc>
        <w:tc>
          <w:tcPr>
            <w:tcW w:w="3373" w:type="dxa"/>
          </w:tcPr>
          <w:p w14:paraId="514A42D7" w14:textId="2701C469" w:rsidR="00AD78FC" w:rsidRPr="000F1DB6" w:rsidRDefault="00AD78FC" w:rsidP="00AD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A5" w:rsidRPr="00BF28A0" w14:paraId="1FB84273" w14:textId="77777777" w:rsidTr="00FB31F7">
        <w:tc>
          <w:tcPr>
            <w:tcW w:w="11023" w:type="dxa"/>
            <w:gridSpan w:val="3"/>
            <w:shd w:val="clear" w:color="auto" w:fill="FDE9D9" w:themeFill="accent6" w:themeFillTint="33"/>
          </w:tcPr>
          <w:p w14:paraId="1AB93AA9" w14:textId="51F29B14" w:rsidR="000922A5" w:rsidRPr="00BF28A0" w:rsidRDefault="00AD78FC" w:rsidP="00AD78F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Dimensi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unea</w:t>
            </w:r>
            <w:r w:rsidRPr="00F504C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5: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Administrația instituției de învățămînt, certificarea și valorile</w:t>
            </w:r>
          </w:p>
        </w:tc>
        <w:tc>
          <w:tcPr>
            <w:tcW w:w="3373" w:type="dxa"/>
            <w:shd w:val="clear" w:color="auto" w:fill="FDE9D9" w:themeFill="accent6" w:themeFillTint="33"/>
          </w:tcPr>
          <w:p w14:paraId="4F0C236F" w14:textId="77777777" w:rsidR="000922A5" w:rsidRPr="00BF28A0" w:rsidRDefault="000922A5" w:rsidP="001F0EA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374FE" w:rsidRPr="00BF28A0" w14:paraId="71F4F988" w14:textId="77777777" w:rsidTr="00FB31F7">
        <w:tc>
          <w:tcPr>
            <w:tcW w:w="4644" w:type="dxa"/>
          </w:tcPr>
          <w:p w14:paraId="7ADA098B" w14:textId="054937F6" w:rsidR="003374FE" w:rsidRPr="00BF28A0" w:rsidRDefault="003374FE" w:rsidP="00337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are un Consiliu de administrație funcțional, care include reprezentanți ai cadrelor didactice, părinților, elevilor și autorităților administrației publice locale. </w:t>
            </w:r>
          </w:p>
        </w:tc>
        <w:tc>
          <w:tcPr>
            <w:tcW w:w="2705" w:type="dxa"/>
          </w:tcPr>
          <w:p w14:paraId="19AD1C8C" w14:textId="15BF6278" w:rsidR="003374FE" w:rsidRPr="00BF28A0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instituției de învățămînt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intervi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uri cu membrii Consiliului de administrație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observări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dacă este cazul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3674" w:type="dxa"/>
          </w:tcPr>
          <w:p w14:paraId="02736AB2" w14:textId="77777777" w:rsidR="003374FE" w:rsidRPr="00F504C4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Copiii participă la procesul decizional referitor la toate aspectele vieții școlare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2.1.3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2.1.5)</w:t>
            </w:r>
          </w:p>
          <w:p w14:paraId="20D0D435" w14:textId="77777777" w:rsidR="003374FE" w:rsidRPr="00F504C4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2.2: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școlară comunică sistematic și implică familia și comunitatea în procesul decizional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2.2.6)</w:t>
            </w:r>
          </w:p>
          <w:p w14:paraId="10C5E5B2" w14:textId="0669A8D0" w:rsidR="003374FE" w:rsidRPr="00BF28A0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2.3: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Școala, familia și comunitatea îi pregătesc pe copii să conviețuiască într-o societate interculturală bazată pe democrație </w:t>
            </w:r>
          </w:p>
        </w:tc>
        <w:tc>
          <w:tcPr>
            <w:tcW w:w="3373" w:type="dxa"/>
          </w:tcPr>
          <w:p w14:paraId="13099710" w14:textId="2117ABDC" w:rsidR="003374FE" w:rsidRPr="00BF28A0" w:rsidRDefault="003374FE" w:rsidP="00AA2C2D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Componența și atribuțiile Consiliului de Administrație sunt prevăzute în Codul Educației și Regulamentul-cadru de organizare și funcționare a consiliului de administrație din </w:t>
            </w:r>
            <w:r w:rsidR="00AA2C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instituțiile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învățămînt general</w:t>
            </w:r>
          </w:p>
        </w:tc>
      </w:tr>
      <w:tr w:rsidR="003374FE" w:rsidRPr="000F1DB6" w14:paraId="60CAC0F6" w14:textId="77777777" w:rsidTr="00FB31F7">
        <w:tc>
          <w:tcPr>
            <w:tcW w:w="4644" w:type="dxa"/>
          </w:tcPr>
          <w:p w14:paraId="5E15C380" w14:textId="72B06F85" w:rsidR="003374FE" w:rsidRPr="00BF28A0" w:rsidRDefault="003374FE" w:rsidP="00337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cunoaște și aplică procedurile și mecanismele existente de prevenire, identificare, raportare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soluționare a cazurilor de abuz, neglijare, exploatare și trafic al copilului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</w:p>
        </w:tc>
        <w:tc>
          <w:tcPr>
            <w:tcW w:w="2705" w:type="dxa"/>
          </w:tcPr>
          <w:p w14:paraId="03F9F153" w14:textId="797236A6" w:rsidR="003374FE" w:rsidRPr="00BF28A0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Documentele instituției de învățămînt,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intervi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u cu coordonatorul școlar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numit pe problemele de violență, observări (de exemplu,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xisten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ța unei boxe pentru reclamații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3674" w:type="dxa"/>
          </w:tcPr>
          <w:p w14:paraId="26ABBF3E" w14:textId="0C1AA515" w:rsidR="003374FE" w:rsidRPr="00BF28A0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1.2: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de învățămînt dezvoltă parteneriate comunitare în vederea protecției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integrității fizice și psihice a fiecărui copil </w:t>
            </w:r>
          </w:p>
        </w:tc>
        <w:tc>
          <w:tcPr>
            <w:tcW w:w="3373" w:type="dxa"/>
          </w:tcPr>
          <w:p w14:paraId="25D468F2" w14:textId="763DE148" w:rsidR="003374FE" w:rsidRPr="000F1DB6" w:rsidRDefault="003374FE" w:rsidP="0039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Procedurile și mecanismele relevante care pot fi utilizate la verificare sunt </w:t>
            </w:r>
            <w:r w:rsidR="003919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specificate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Ordinul nr. 77 din 02 februarie 2013</w:t>
            </w:r>
          </w:p>
        </w:tc>
      </w:tr>
      <w:tr w:rsidR="003374FE" w:rsidRPr="00BF28A0" w14:paraId="12C8BC42" w14:textId="77777777" w:rsidTr="00FB31F7">
        <w:tc>
          <w:tcPr>
            <w:tcW w:w="4644" w:type="dxa"/>
          </w:tcPr>
          <w:p w14:paraId="5D598E48" w14:textId="2333DF7B" w:rsidR="003374FE" w:rsidRPr="0035746D" w:rsidRDefault="003374FE" w:rsidP="00190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Instituția de învățămînt </w:t>
            </w:r>
            <w:r w:rsidR="006A474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menține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cel puțin un mijloc funcțional de comunicare publică, cum ar fi panoul informativ, pagina web, sistemul de informare publică sau mass-media școlară, care publică fișa școlii și alt</w:t>
            </w:r>
            <w:r w:rsidR="002006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informați</w:t>
            </w:r>
            <w:r w:rsidR="002006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relevant</w:t>
            </w:r>
            <w:r w:rsidR="002006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elevi, cadre didactice și alte părți interesate relevante.</w:t>
            </w:r>
          </w:p>
        </w:tc>
        <w:tc>
          <w:tcPr>
            <w:tcW w:w="2705" w:type="dxa"/>
          </w:tcPr>
          <w:p w14:paraId="4FB45618" w14:textId="21CCBA4F" w:rsidR="003374FE" w:rsidRPr="00BF28A0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instituției de învățămînt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observări</w:t>
            </w:r>
          </w:p>
        </w:tc>
        <w:tc>
          <w:tcPr>
            <w:tcW w:w="3674" w:type="dxa"/>
          </w:tcPr>
          <w:p w14:paraId="11244700" w14:textId="77777777" w:rsidR="003374FE" w:rsidRPr="00F504C4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2.2: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Instituția școlară comunică sistematic și implică familia și comunitatea în procesul decizional 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2.2.8)</w:t>
            </w:r>
          </w:p>
          <w:p w14:paraId="37C47C61" w14:textId="77777777" w:rsidR="003374FE" w:rsidRPr="00F504C4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2.1: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Copiii participă la procesul decizional referitor la toate aspectele vieții școlare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ii 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2.1.2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F504C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2.1.4)</w:t>
            </w:r>
          </w:p>
          <w:p w14:paraId="428D7616" w14:textId="46143AE5" w:rsidR="003374FE" w:rsidRPr="00BF28A0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73" w:type="dxa"/>
          </w:tcPr>
          <w:p w14:paraId="5FCE57B9" w14:textId="77777777" w:rsidR="003374FE" w:rsidRPr="00F504C4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Codul Educației prevede o serie de cerințe cu privire la informație și transparență, cum ar fi publicarea bugetelor școlare </w:t>
            </w:r>
          </w:p>
          <w:p w14:paraId="47F8119E" w14:textId="07E4639E" w:rsidR="003374FE" w:rsidRPr="00BF28A0" w:rsidRDefault="003374FE" w:rsidP="003374F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374C958" w14:textId="18112F6D" w:rsidR="003374FE" w:rsidRPr="00F504C4" w:rsidRDefault="003374FE" w:rsidP="003374FE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504C4">
        <w:rPr>
          <w:rFonts w:ascii="Times New Roman" w:hAnsi="Times New Roman" w:cs="Times New Roman"/>
          <w:b/>
          <w:sz w:val="24"/>
          <w:szCs w:val="24"/>
          <w:lang w:val="ro-MD"/>
        </w:rPr>
        <w:t>NOT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Ă</w:t>
      </w:r>
      <w:r w:rsidRPr="00F504C4">
        <w:rPr>
          <w:rFonts w:ascii="Times New Roman" w:hAnsi="Times New Roman" w:cs="Times New Roman"/>
          <w:b/>
          <w:sz w:val="24"/>
          <w:szCs w:val="24"/>
          <w:lang w:val="ro-M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Se consideră că instituția de învățămînt a îndeplinit standardele operaționale minime dacă acumulează un </w:t>
      </w:r>
      <w:r w:rsidR="00612C4B">
        <w:rPr>
          <w:rFonts w:ascii="Times New Roman" w:hAnsi="Times New Roman" w:cs="Times New Roman"/>
          <w:b/>
          <w:sz w:val="24"/>
          <w:szCs w:val="24"/>
          <w:lang w:val="ro-MD"/>
        </w:rPr>
        <w:t xml:space="preserve">total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de </w:t>
      </w:r>
      <w:r w:rsidRPr="00F504C4">
        <w:rPr>
          <w:rFonts w:ascii="Times New Roman" w:hAnsi="Times New Roman" w:cs="Times New Roman"/>
          <w:b/>
          <w:sz w:val="24"/>
          <w:szCs w:val="24"/>
          <w:lang w:val="ro-MD"/>
        </w:rPr>
        <w:t xml:space="preserve">18 </w:t>
      </w:r>
      <w:r w:rsidR="00612C4B">
        <w:rPr>
          <w:rFonts w:ascii="Times New Roman" w:hAnsi="Times New Roman" w:cs="Times New Roman"/>
          <w:b/>
          <w:sz w:val="24"/>
          <w:szCs w:val="24"/>
          <w:lang w:val="ro-MD"/>
        </w:rPr>
        <w:t xml:space="preserve">puncte </w:t>
      </w:r>
      <w:r w:rsidRPr="00F504C4">
        <w:rPr>
          <w:rFonts w:ascii="Times New Roman" w:hAnsi="Times New Roman" w:cs="Times New Roman"/>
          <w:b/>
          <w:sz w:val="24"/>
          <w:szCs w:val="24"/>
          <w:lang w:val="ro-MD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100</w:t>
      </w:r>
      <w:r w:rsidRPr="00F504C4">
        <w:rPr>
          <w:rFonts w:ascii="Times New Roman" w:hAnsi="Times New Roman" w:cs="Times New Roman"/>
          <w:b/>
          <w:sz w:val="24"/>
          <w:szCs w:val="24"/>
          <w:lang w:val="ro-MD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realizare</w:t>
      </w:r>
      <w:r w:rsidRPr="00F504C4">
        <w:rPr>
          <w:rFonts w:ascii="Times New Roman" w:hAnsi="Times New Roman" w:cs="Times New Roman"/>
          <w:b/>
          <w:sz w:val="24"/>
          <w:szCs w:val="24"/>
          <w:lang w:val="ro-MD"/>
        </w:rPr>
        <w:t>).</w:t>
      </w:r>
    </w:p>
    <w:p w14:paraId="39EAEBFF" w14:textId="3C22F098" w:rsidR="00F94551" w:rsidRPr="003374FE" w:rsidRDefault="00F94551" w:rsidP="003374FE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sectPr w:rsidR="00F94551" w:rsidRPr="003374FE" w:rsidSect="00F94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979AC" w14:textId="77777777" w:rsidR="00AA0C83" w:rsidRDefault="00AA0C83" w:rsidP="00462932">
      <w:pPr>
        <w:spacing w:after="0" w:line="240" w:lineRule="auto"/>
      </w:pPr>
      <w:r>
        <w:separator/>
      </w:r>
    </w:p>
  </w:endnote>
  <w:endnote w:type="continuationSeparator" w:id="0">
    <w:p w14:paraId="08077CB1" w14:textId="77777777" w:rsidR="00AA0C83" w:rsidRDefault="00AA0C83" w:rsidP="0046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67991"/>
      <w:docPartObj>
        <w:docPartGallery w:val="Page Numbers (Bottom of Page)"/>
        <w:docPartUnique/>
      </w:docPartObj>
    </w:sdtPr>
    <w:sdtEndPr/>
    <w:sdtContent>
      <w:p w14:paraId="7A295415" w14:textId="77777777" w:rsidR="00116A29" w:rsidRDefault="007C3504" w:rsidP="00290856">
        <w:pPr>
          <w:pStyle w:val="Footer"/>
          <w:jc w:val="right"/>
        </w:pPr>
        <w:r>
          <w:fldChar w:fldCharType="begin"/>
        </w:r>
        <w:r w:rsidR="002B4D0E">
          <w:instrText xml:space="preserve"> PAGE   \* MERGEFORMAT </w:instrText>
        </w:r>
        <w:r>
          <w:fldChar w:fldCharType="separate"/>
        </w:r>
        <w:r w:rsidR="00A92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5DC52" w14:textId="77777777" w:rsidR="00AA0C83" w:rsidRDefault="00AA0C83" w:rsidP="00462932">
      <w:pPr>
        <w:spacing w:after="0" w:line="240" w:lineRule="auto"/>
      </w:pPr>
      <w:r>
        <w:separator/>
      </w:r>
    </w:p>
  </w:footnote>
  <w:footnote w:type="continuationSeparator" w:id="0">
    <w:p w14:paraId="0C281EA4" w14:textId="77777777" w:rsidR="00AA0C83" w:rsidRDefault="00AA0C83" w:rsidP="00462932">
      <w:pPr>
        <w:spacing w:after="0" w:line="240" w:lineRule="auto"/>
      </w:pPr>
      <w:r>
        <w:continuationSeparator/>
      </w:r>
    </w:p>
  </w:footnote>
  <w:footnote w:id="1">
    <w:p w14:paraId="46BDE257" w14:textId="5B29441A" w:rsidR="006C4BD1" w:rsidRPr="00BF28A0" w:rsidRDefault="006C4BD1" w:rsidP="006C4BD1">
      <w:p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C3DC8">
        <w:rPr>
          <w:rStyle w:val="FootnoteReference"/>
          <w:lang w:val="ro-MD"/>
        </w:rPr>
        <w:footnoteRef/>
      </w:r>
      <w:r w:rsidRPr="002C3DC8">
        <w:rPr>
          <w:rFonts w:ascii="Times New Roman" w:hAnsi="Times New Roman" w:cs="Times New Roman"/>
          <w:sz w:val="20"/>
          <w:szCs w:val="20"/>
          <w:lang w:val="ro-MD"/>
        </w:rPr>
        <w:t>Pe lîngă activitatea de def</w:t>
      </w:r>
      <w:r>
        <w:rPr>
          <w:rFonts w:ascii="Times New Roman" w:hAnsi="Times New Roman" w:cs="Times New Roman"/>
          <w:sz w:val="20"/>
          <w:szCs w:val="20"/>
          <w:lang w:val="ro-MD"/>
        </w:rPr>
        <w:t>i</w:t>
      </w:r>
      <w:r w:rsidRPr="002C3DC8">
        <w:rPr>
          <w:rFonts w:ascii="Times New Roman" w:hAnsi="Times New Roman" w:cs="Times New Roman"/>
          <w:sz w:val="20"/>
          <w:szCs w:val="20"/>
          <w:lang w:val="ro-MD"/>
        </w:rPr>
        <w:t xml:space="preserve">nire a Standardelor de Calitate și proceselor asociate, MEd a </w:t>
      </w:r>
      <w:r w:rsidR="009466B9">
        <w:rPr>
          <w:rFonts w:ascii="Times New Roman" w:hAnsi="Times New Roman" w:cs="Times New Roman"/>
          <w:sz w:val="20"/>
          <w:szCs w:val="20"/>
          <w:lang w:val="ro-MD"/>
        </w:rPr>
        <w:t xml:space="preserve">elaborat și </w:t>
      </w:r>
      <w:r>
        <w:rPr>
          <w:rFonts w:ascii="Times New Roman" w:hAnsi="Times New Roman" w:cs="Times New Roman"/>
          <w:sz w:val="20"/>
          <w:szCs w:val="20"/>
          <w:lang w:val="ro-MD"/>
        </w:rPr>
        <w:t>promovat</w:t>
      </w:r>
      <w:r w:rsidRPr="002C3DC8">
        <w:rPr>
          <w:rFonts w:ascii="Times New Roman" w:hAnsi="Times New Roman" w:cs="Times New Roman"/>
          <w:sz w:val="20"/>
          <w:szCs w:val="20"/>
          <w:lang w:val="ro-MD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MD"/>
        </w:rPr>
        <w:t>un șir</w:t>
      </w:r>
      <w:r w:rsidRPr="002C3DC8">
        <w:rPr>
          <w:rFonts w:ascii="Times New Roman" w:hAnsi="Times New Roman" w:cs="Times New Roman"/>
          <w:sz w:val="20"/>
          <w:szCs w:val="20"/>
          <w:lang w:val="ro-MD"/>
        </w:rPr>
        <w:t xml:space="preserve"> de regulamente, politici și proiecte menite să îmbunătățească calitate</w:t>
      </w:r>
      <w:r>
        <w:rPr>
          <w:rFonts w:ascii="Times New Roman" w:hAnsi="Times New Roman" w:cs="Times New Roman"/>
          <w:sz w:val="20"/>
          <w:szCs w:val="20"/>
          <w:lang w:val="ro-MD"/>
        </w:rPr>
        <w:t>a</w:t>
      </w:r>
      <w:r w:rsidRPr="002C3DC8">
        <w:rPr>
          <w:rFonts w:ascii="Times New Roman" w:hAnsi="Times New Roman" w:cs="Times New Roman"/>
          <w:sz w:val="20"/>
          <w:szCs w:val="20"/>
          <w:lang w:val="ro-MD"/>
        </w:rPr>
        <w:t xml:space="preserve"> educației </w:t>
      </w:r>
      <w:r>
        <w:rPr>
          <w:rFonts w:ascii="Times New Roman" w:hAnsi="Times New Roman" w:cs="Times New Roman"/>
          <w:sz w:val="20"/>
          <w:szCs w:val="20"/>
          <w:lang w:val="ro-MD"/>
        </w:rPr>
        <w:t>și care țin de implementarea standardelor. Parlamentul a aprobat un nou Cod al Educației</w:t>
      </w:r>
      <w:r w:rsidRPr="002C3DC8">
        <w:rPr>
          <w:rFonts w:ascii="Times New Roman" w:hAnsi="Times New Roman" w:cs="Times New Roman"/>
          <w:sz w:val="20"/>
          <w:szCs w:val="20"/>
          <w:lang w:val="ro-MD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o-MD"/>
        </w:rPr>
        <w:t>care include o serie de prevederi privind administrația și managementul școlar. Adițional</w:t>
      </w:r>
      <w:r w:rsidRPr="002C3DC8">
        <w:rPr>
          <w:rFonts w:ascii="Times New Roman" w:hAnsi="Times New Roman" w:cs="Times New Roman"/>
          <w:sz w:val="20"/>
          <w:szCs w:val="20"/>
          <w:lang w:val="ro-MD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o-MD"/>
        </w:rPr>
        <w:t xml:space="preserve">MEd efectuează analiza curriculumului, elaborează Sistemul Informațional de Management în Educație (SIME), </w:t>
      </w:r>
      <w:r w:rsidR="003D0E70">
        <w:rPr>
          <w:rFonts w:ascii="Times New Roman" w:hAnsi="Times New Roman" w:cs="Times New Roman"/>
          <w:sz w:val="20"/>
          <w:szCs w:val="20"/>
          <w:lang w:val="ro-MD"/>
        </w:rPr>
        <w:t xml:space="preserve">asigură dotarea </w:t>
      </w:r>
      <w:r>
        <w:rPr>
          <w:rFonts w:ascii="Times New Roman" w:hAnsi="Times New Roman" w:cs="Times New Roman"/>
          <w:sz w:val="20"/>
          <w:szCs w:val="20"/>
          <w:lang w:val="ro-MD"/>
        </w:rPr>
        <w:t xml:space="preserve"> școlil</w:t>
      </w:r>
      <w:r w:rsidR="003D0E70">
        <w:rPr>
          <w:rFonts w:ascii="Times New Roman" w:hAnsi="Times New Roman" w:cs="Times New Roman"/>
          <w:sz w:val="20"/>
          <w:szCs w:val="20"/>
          <w:lang w:val="ro-MD"/>
        </w:rPr>
        <w:t>or</w:t>
      </w:r>
      <w:r>
        <w:rPr>
          <w:rFonts w:ascii="Times New Roman" w:hAnsi="Times New Roman" w:cs="Times New Roman"/>
          <w:sz w:val="20"/>
          <w:szCs w:val="20"/>
          <w:lang w:val="ro-MD"/>
        </w:rPr>
        <w:t xml:space="preserve"> cu echipament, inclusiv mobilier și calculatoare, și desfășoară lucrări de proiectare pentru reabilitarea infrastructurii școlare. </w:t>
      </w:r>
    </w:p>
    <w:p w14:paraId="7DA10A54" w14:textId="77777777" w:rsidR="006C4BD1" w:rsidRPr="00BF28A0" w:rsidRDefault="006C4BD1" w:rsidP="006C4BD1">
      <w:pPr>
        <w:pStyle w:val="FootnoteText"/>
        <w:rPr>
          <w:lang w:val="ro-MD"/>
        </w:rPr>
      </w:pPr>
    </w:p>
    <w:p w14:paraId="261639D8" w14:textId="77777777" w:rsidR="006C4BD1" w:rsidRPr="00BF28A0" w:rsidRDefault="006C4BD1" w:rsidP="006C4BD1">
      <w:pPr>
        <w:pStyle w:val="FootnoteText"/>
        <w:rPr>
          <w:lang w:val="ro-MD"/>
        </w:rPr>
      </w:pPr>
    </w:p>
  </w:footnote>
  <w:footnote w:id="2">
    <w:p w14:paraId="3DB5DABA" w14:textId="77777777" w:rsidR="006C4BD1" w:rsidRPr="000E3669" w:rsidRDefault="006C4BD1" w:rsidP="00644599">
      <w:pPr>
        <w:pStyle w:val="FootnoteText"/>
        <w:rPr>
          <w:lang w:val="ro-MD"/>
        </w:rPr>
      </w:pPr>
      <w:r w:rsidRPr="000E3669">
        <w:rPr>
          <w:rStyle w:val="FootnoteReference"/>
          <w:lang w:val="ro-MD"/>
        </w:rPr>
        <w:footnoteRef/>
      </w:r>
      <w:r w:rsidRPr="000E3669">
        <w:rPr>
          <w:lang w:val="ro-MD"/>
        </w:rPr>
        <w:t xml:space="preserve"> Bugetul poate fi echilibrat din ‘componenta raională’ de finanțare a surselor extra-bugetare. Bugetul include alocații pentru elevi din școlile mixte sau bilingve,</w:t>
      </w:r>
      <w:r>
        <w:rPr>
          <w:lang w:val="ro-MD"/>
        </w:rPr>
        <w:t xml:space="preserve"> precum și alocații pentru elevii cu cerințe educaționale speciale</w:t>
      </w:r>
      <w:r w:rsidRPr="000E3669">
        <w:rPr>
          <w:lang w:val="ro-MD"/>
        </w:rPr>
        <w:t xml:space="preserve">, </w:t>
      </w:r>
      <w:r>
        <w:rPr>
          <w:lang w:val="ro-MD"/>
        </w:rPr>
        <w:t xml:space="preserve">în conformitate cu Regulamentul privind finanțarea în bază de cost standard per elev și Planul cadru de învățămînt (Hotărîrea de </w:t>
      </w:r>
      <w:r w:rsidRPr="00E37855">
        <w:rPr>
          <w:lang w:val="ro-MD"/>
        </w:rPr>
        <w:t>Guvern nr. 868 din 08 octombrie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E77"/>
    <w:multiLevelType w:val="hybridMultilevel"/>
    <w:tmpl w:val="FFD0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491"/>
    <w:multiLevelType w:val="hybridMultilevel"/>
    <w:tmpl w:val="2FCAC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27C0B"/>
    <w:multiLevelType w:val="hybridMultilevel"/>
    <w:tmpl w:val="7B9C6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A6DBE"/>
    <w:multiLevelType w:val="hybridMultilevel"/>
    <w:tmpl w:val="1548B52E"/>
    <w:lvl w:ilvl="0" w:tplc="1D5465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41B75"/>
    <w:multiLevelType w:val="hybridMultilevel"/>
    <w:tmpl w:val="536A6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3651CA"/>
    <w:multiLevelType w:val="hybridMultilevel"/>
    <w:tmpl w:val="E5D24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7F29C4"/>
    <w:multiLevelType w:val="hybridMultilevel"/>
    <w:tmpl w:val="C9787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21CB3"/>
    <w:multiLevelType w:val="hybridMultilevel"/>
    <w:tmpl w:val="1E480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F"/>
    <w:rsid w:val="000004BD"/>
    <w:rsid w:val="0000246F"/>
    <w:rsid w:val="00014CEB"/>
    <w:rsid w:val="00020354"/>
    <w:rsid w:val="00035BBC"/>
    <w:rsid w:val="00037F50"/>
    <w:rsid w:val="0004438F"/>
    <w:rsid w:val="000523ED"/>
    <w:rsid w:val="00057109"/>
    <w:rsid w:val="00083995"/>
    <w:rsid w:val="000922A5"/>
    <w:rsid w:val="000943E1"/>
    <w:rsid w:val="00095C0F"/>
    <w:rsid w:val="000A0A3A"/>
    <w:rsid w:val="000A5BB5"/>
    <w:rsid w:val="000B4EAA"/>
    <w:rsid w:val="000D18B6"/>
    <w:rsid w:val="000D6479"/>
    <w:rsid w:val="000F1DB6"/>
    <w:rsid w:val="000F293E"/>
    <w:rsid w:val="000F70B2"/>
    <w:rsid w:val="0010712A"/>
    <w:rsid w:val="00113676"/>
    <w:rsid w:val="00116A29"/>
    <w:rsid w:val="00120D99"/>
    <w:rsid w:val="001230D9"/>
    <w:rsid w:val="00125584"/>
    <w:rsid w:val="0014021F"/>
    <w:rsid w:val="00154CA3"/>
    <w:rsid w:val="00175399"/>
    <w:rsid w:val="00176F4E"/>
    <w:rsid w:val="00182EC5"/>
    <w:rsid w:val="00190365"/>
    <w:rsid w:val="0019450F"/>
    <w:rsid w:val="00196651"/>
    <w:rsid w:val="0019665C"/>
    <w:rsid w:val="001B66AF"/>
    <w:rsid w:val="001C22D3"/>
    <w:rsid w:val="001C44EF"/>
    <w:rsid w:val="001D3380"/>
    <w:rsid w:val="001D797C"/>
    <w:rsid w:val="001F0EAD"/>
    <w:rsid w:val="001F5BF8"/>
    <w:rsid w:val="00200699"/>
    <w:rsid w:val="002161A5"/>
    <w:rsid w:val="002255CA"/>
    <w:rsid w:val="00225E84"/>
    <w:rsid w:val="00230FDA"/>
    <w:rsid w:val="002363A1"/>
    <w:rsid w:val="00244A92"/>
    <w:rsid w:val="002507F9"/>
    <w:rsid w:val="002615C5"/>
    <w:rsid w:val="0028054C"/>
    <w:rsid w:val="00290856"/>
    <w:rsid w:val="0029089A"/>
    <w:rsid w:val="002952FD"/>
    <w:rsid w:val="002B4D0E"/>
    <w:rsid w:val="002B678B"/>
    <w:rsid w:val="002C2640"/>
    <w:rsid w:val="002C5A44"/>
    <w:rsid w:val="002C7DAA"/>
    <w:rsid w:val="002D0B89"/>
    <w:rsid w:val="002D1663"/>
    <w:rsid w:val="002D430E"/>
    <w:rsid w:val="002D576C"/>
    <w:rsid w:val="002F184D"/>
    <w:rsid w:val="00326883"/>
    <w:rsid w:val="00336BC6"/>
    <w:rsid w:val="003374FE"/>
    <w:rsid w:val="0035026C"/>
    <w:rsid w:val="003552C3"/>
    <w:rsid w:val="003559AB"/>
    <w:rsid w:val="0035746D"/>
    <w:rsid w:val="00367C9A"/>
    <w:rsid w:val="00372249"/>
    <w:rsid w:val="003745B9"/>
    <w:rsid w:val="00380EBD"/>
    <w:rsid w:val="003919FF"/>
    <w:rsid w:val="0039426C"/>
    <w:rsid w:val="00395903"/>
    <w:rsid w:val="003A4E44"/>
    <w:rsid w:val="003B396E"/>
    <w:rsid w:val="003C199F"/>
    <w:rsid w:val="003C1B73"/>
    <w:rsid w:val="003C6576"/>
    <w:rsid w:val="003D0E70"/>
    <w:rsid w:val="00414BFC"/>
    <w:rsid w:val="00417B79"/>
    <w:rsid w:val="00440F21"/>
    <w:rsid w:val="00442D38"/>
    <w:rsid w:val="00452CDC"/>
    <w:rsid w:val="00455A0D"/>
    <w:rsid w:val="0045734A"/>
    <w:rsid w:val="00462932"/>
    <w:rsid w:val="00464993"/>
    <w:rsid w:val="004726B5"/>
    <w:rsid w:val="004940F6"/>
    <w:rsid w:val="004B5ED9"/>
    <w:rsid w:val="004C2714"/>
    <w:rsid w:val="004C2A88"/>
    <w:rsid w:val="005028FC"/>
    <w:rsid w:val="00510049"/>
    <w:rsid w:val="005213AD"/>
    <w:rsid w:val="00522F27"/>
    <w:rsid w:val="00557F2B"/>
    <w:rsid w:val="005611B5"/>
    <w:rsid w:val="00577BA5"/>
    <w:rsid w:val="005817AE"/>
    <w:rsid w:val="0058180A"/>
    <w:rsid w:val="00591302"/>
    <w:rsid w:val="0059278E"/>
    <w:rsid w:val="00595C42"/>
    <w:rsid w:val="005A074B"/>
    <w:rsid w:val="005A6CF0"/>
    <w:rsid w:val="005C1536"/>
    <w:rsid w:val="005D769B"/>
    <w:rsid w:val="005E0E30"/>
    <w:rsid w:val="005E59C2"/>
    <w:rsid w:val="005F1708"/>
    <w:rsid w:val="00607C5C"/>
    <w:rsid w:val="00610D45"/>
    <w:rsid w:val="00612C4B"/>
    <w:rsid w:val="006305DC"/>
    <w:rsid w:val="0063063B"/>
    <w:rsid w:val="006332CC"/>
    <w:rsid w:val="006500D8"/>
    <w:rsid w:val="00655E23"/>
    <w:rsid w:val="00660D9B"/>
    <w:rsid w:val="00665124"/>
    <w:rsid w:val="00672FDE"/>
    <w:rsid w:val="006736D7"/>
    <w:rsid w:val="0068171F"/>
    <w:rsid w:val="00684D7F"/>
    <w:rsid w:val="00694F50"/>
    <w:rsid w:val="006A4140"/>
    <w:rsid w:val="006A4741"/>
    <w:rsid w:val="006B7408"/>
    <w:rsid w:val="006B7978"/>
    <w:rsid w:val="006C4BD1"/>
    <w:rsid w:val="006D1613"/>
    <w:rsid w:val="006D788D"/>
    <w:rsid w:val="006E56BD"/>
    <w:rsid w:val="007056A6"/>
    <w:rsid w:val="00711CF3"/>
    <w:rsid w:val="00713799"/>
    <w:rsid w:val="007221B7"/>
    <w:rsid w:val="00743507"/>
    <w:rsid w:val="00750CE8"/>
    <w:rsid w:val="00752F39"/>
    <w:rsid w:val="00754575"/>
    <w:rsid w:val="0076358B"/>
    <w:rsid w:val="00781C91"/>
    <w:rsid w:val="00786266"/>
    <w:rsid w:val="007A736C"/>
    <w:rsid w:val="007B6569"/>
    <w:rsid w:val="007C3504"/>
    <w:rsid w:val="007C6FA4"/>
    <w:rsid w:val="007C7A3C"/>
    <w:rsid w:val="007D2C30"/>
    <w:rsid w:val="007E679B"/>
    <w:rsid w:val="007F2F96"/>
    <w:rsid w:val="00800740"/>
    <w:rsid w:val="00803B33"/>
    <w:rsid w:val="00815255"/>
    <w:rsid w:val="00825105"/>
    <w:rsid w:val="0083246A"/>
    <w:rsid w:val="008333E5"/>
    <w:rsid w:val="00836B2F"/>
    <w:rsid w:val="0084070B"/>
    <w:rsid w:val="00845191"/>
    <w:rsid w:val="00847742"/>
    <w:rsid w:val="00853A35"/>
    <w:rsid w:val="0086108C"/>
    <w:rsid w:val="008655A4"/>
    <w:rsid w:val="00870DF7"/>
    <w:rsid w:val="00874071"/>
    <w:rsid w:val="008774DD"/>
    <w:rsid w:val="00895F54"/>
    <w:rsid w:val="00896E8F"/>
    <w:rsid w:val="008A39CA"/>
    <w:rsid w:val="008B0FFD"/>
    <w:rsid w:val="008C4C93"/>
    <w:rsid w:val="008D756D"/>
    <w:rsid w:val="008F100D"/>
    <w:rsid w:val="00913DF0"/>
    <w:rsid w:val="00926C01"/>
    <w:rsid w:val="00931958"/>
    <w:rsid w:val="00932CEA"/>
    <w:rsid w:val="009340CF"/>
    <w:rsid w:val="009466B9"/>
    <w:rsid w:val="0095433C"/>
    <w:rsid w:val="00971FF5"/>
    <w:rsid w:val="00985BD3"/>
    <w:rsid w:val="0099008E"/>
    <w:rsid w:val="009A2E57"/>
    <w:rsid w:val="009A5764"/>
    <w:rsid w:val="009A5D78"/>
    <w:rsid w:val="009D0D44"/>
    <w:rsid w:val="009F0C0E"/>
    <w:rsid w:val="00A0049A"/>
    <w:rsid w:val="00A11B44"/>
    <w:rsid w:val="00A232C0"/>
    <w:rsid w:val="00A30C4E"/>
    <w:rsid w:val="00A352A4"/>
    <w:rsid w:val="00A35C1E"/>
    <w:rsid w:val="00A416E8"/>
    <w:rsid w:val="00A424F2"/>
    <w:rsid w:val="00A53F76"/>
    <w:rsid w:val="00A5748C"/>
    <w:rsid w:val="00A60EB3"/>
    <w:rsid w:val="00A63107"/>
    <w:rsid w:val="00A7136C"/>
    <w:rsid w:val="00A85DE6"/>
    <w:rsid w:val="00A92B93"/>
    <w:rsid w:val="00AA0C83"/>
    <w:rsid w:val="00AA2C2D"/>
    <w:rsid w:val="00AC32EC"/>
    <w:rsid w:val="00AC3642"/>
    <w:rsid w:val="00AD3B49"/>
    <w:rsid w:val="00AD78FC"/>
    <w:rsid w:val="00B03BC8"/>
    <w:rsid w:val="00B103CE"/>
    <w:rsid w:val="00B32BB8"/>
    <w:rsid w:val="00B344DB"/>
    <w:rsid w:val="00B35553"/>
    <w:rsid w:val="00B52BD5"/>
    <w:rsid w:val="00B86115"/>
    <w:rsid w:val="00BA3879"/>
    <w:rsid w:val="00BA671F"/>
    <w:rsid w:val="00BB545F"/>
    <w:rsid w:val="00BB6435"/>
    <w:rsid w:val="00BD4AAF"/>
    <w:rsid w:val="00BE1266"/>
    <w:rsid w:val="00BF0E58"/>
    <w:rsid w:val="00BF28A0"/>
    <w:rsid w:val="00C07969"/>
    <w:rsid w:val="00C134AD"/>
    <w:rsid w:val="00C153F9"/>
    <w:rsid w:val="00C2758C"/>
    <w:rsid w:val="00C27A4A"/>
    <w:rsid w:val="00C40B59"/>
    <w:rsid w:val="00C44FD0"/>
    <w:rsid w:val="00C45264"/>
    <w:rsid w:val="00C62854"/>
    <w:rsid w:val="00C7508F"/>
    <w:rsid w:val="00C8380A"/>
    <w:rsid w:val="00C92CA5"/>
    <w:rsid w:val="00CA0915"/>
    <w:rsid w:val="00CA12C2"/>
    <w:rsid w:val="00CA3D7D"/>
    <w:rsid w:val="00CA791B"/>
    <w:rsid w:val="00CB29AC"/>
    <w:rsid w:val="00CC01F9"/>
    <w:rsid w:val="00CC057D"/>
    <w:rsid w:val="00CC0FE9"/>
    <w:rsid w:val="00CC207C"/>
    <w:rsid w:val="00D1527F"/>
    <w:rsid w:val="00D27847"/>
    <w:rsid w:val="00D27CAB"/>
    <w:rsid w:val="00D318D2"/>
    <w:rsid w:val="00D503D8"/>
    <w:rsid w:val="00D53E8E"/>
    <w:rsid w:val="00D72E09"/>
    <w:rsid w:val="00D90DC9"/>
    <w:rsid w:val="00DA7337"/>
    <w:rsid w:val="00DA78CA"/>
    <w:rsid w:val="00DB139F"/>
    <w:rsid w:val="00E113A2"/>
    <w:rsid w:val="00E16D6D"/>
    <w:rsid w:val="00E20048"/>
    <w:rsid w:val="00E40C16"/>
    <w:rsid w:val="00E521D7"/>
    <w:rsid w:val="00E56831"/>
    <w:rsid w:val="00E72AD2"/>
    <w:rsid w:val="00EA01CF"/>
    <w:rsid w:val="00EA28ED"/>
    <w:rsid w:val="00EA311C"/>
    <w:rsid w:val="00EA6975"/>
    <w:rsid w:val="00EB070D"/>
    <w:rsid w:val="00ED122D"/>
    <w:rsid w:val="00ED47DB"/>
    <w:rsid w:val="00ED5970"/>
    <w:rsid w:val="00EE54BF"/>
    <w:rsid w:val="00EF55A5"/>
    <w:rsid w:val="00F029D9"/>
    <w:rsid w:val="00F23E43"/>
    <w:rsid w:val="00F631D1"/>
    <w:rsid w:val="00F75DA0"/>
    <w:rsid w:val="00F90EDF"/>
    <w:rsid w:val="00F9138C"/>
    <w:rsid w:val="00F94551"/>
    <w:rsid w:val="00F94571"/>
    <w:rsid w:val="00FA29F7"/>
    <w:rsid w:val="00FA5E94"/>
    <w:rsid w:val="00FA65AE"/>
    <w:rsid w:val="00FA738F"/>
    <w:rsid w:val="00FB31F7"/>
    <w:rsid w:val="00FB73E6"/>
    <w:rsid w:val="00FD22E4"/>
    <w:rsid w:val="00FD2DB7"/>
    <w:rsid w:val="00FD5A1D"/>
    <w:rsid w:val="00FE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2CAD"/>
  <w15:docId w15:val="{99653A24-912F-4C0E-8587-B05008C7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32"/>
  </w:style>
  <w:style w:type="paragraph" w:styleId="Footer">
    <w:name w:val="footer"/>
    <w:basedOn w:val="Normal"/>
    <w:link w:val="FooterChar"/>
    <w:uiPriority w:val="99"/>
    <w:unhideWhenUsed/>
    <w:rsid w:val="0046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32"/>
  </w:style>
  <w:style w:type="table" w:styleId="TableGrid">
    <w:name w:val="Table Grid"/>
    <w:basedOn w:val="TableNormal"/>
    <w:uiPriority w:val="59"/>
    <w:rsid w:val="00F9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D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D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D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0D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651"/>
    <w:rPr>
      <w:vertAlign w:val="superscript"/>
    </w:rPr>
  </w:style>
  <w:style w:type="paragraph" w:styleId="Revision">
    <w:name w:val="Revision"/>
    <w:hidden/>
    <w:uiPriority w:val="99"/>
    <w:semiHidden/>
    <w:rsid w:val="0009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F434-7F4C-4755-B9C5-858C546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Catrinescu</dc:creator>
  <cp:lastModifiedBy>admin</cp:lastModifiedBy>
  <cp:revision>2</cp:revision>
  <cp:lastPrinted>2015-03-27T08:40:00Z</cp:lastPrinted>
  <dcterms:created xsi:type="dcterms:W3CDTF">2015-06-08T10:48:00Z</dcterms:created>
  <dcterms:modified xsi:type="dcterms:W3CDTF">2015-06-08T10:48:00Z</dcterms:modified>
</cp:coreProperties>
</file>